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ook w:firstColumn="1" w:firstRow="1" w:lastColumn="0" w:lastRow="0" w:noHBand="0" w:noVBand="1" w:val="04A0"/>
        <w:tblW w:w="9752" w:type="dxa"/>
        <w:jc w:val="left"/>
        <w:tblInd w:w="4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752"/>
      </w:tblGrid>
      <w:tr>
        <w:tc>
          <w:tcPr>
            <w:tcW w:type="dxa" w:w="9752"/>
            <w:shd w:val="clear" w:color="auto" w:fill="2E3338"/>
            <w:tcMar>
              <w:top w:w="360" w:type="dxa"/>
              <w:left w:w="420" w:type="dxa"/>
              <w:bottom w:w="380" w:type="dxa"/>
              <w:right w:w="420" w:type="dxa"/>
            </w:tcMar>
          </w:tcPr>
          <w:p>
            <w:pPr>
              <w:tabs>
                <w:tab w:pos="8912" w:val="right"/>
              </w:tabs>
              <w:spacing w:before="0" w:after="2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979FA7"/>
                <w:sz w:val="16"/>
                <w:spacing w:val="30"/>
              </w:rPr>
              <w:t>Shortlist report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ab/>
            </w:r>
            <w:r>
              <w:rPr>
                <w:rFonts w:ascii="Calibri" w:hAnsi="Calibri" w:eastAsia="Calibri" w:cs="Calibri"/>
                <w:b/>
                <w:i w:val="0"/>
                <w:color w:val="FFFFFF"/>
                <w:sz w:val="14"/>
                <w:spacing w:val="20"/>
                <w:shd w:val="clear" w:color="auto" w:fill="5F6B77"/>
              </w:rPr>
              <w:t xml:space="preserve"> CONFIDENTIAL </w:t>
            </w:r>
          </w:p>
          <w:p>
            <w:pPr>
              <w:spacing w:before="0" w:after="80"/>
            </w:pPr>
            <w:r>
              <w:rPr>
                <w:rFonts w:ascii="Cambria" w:hAnsi="Cambria" w:eastAsia="Cambria" w:cs="Cambria"/>
                <w:b w:val="0"/>
                <w:i w:val="0"/>
                <w:color w:val="FFFFFF"/>
                <w:sz w:val="52"/>
              </w:rPr>
              <w:t xml:space="preserve">Chief Operating Officer</w:t>
            </w:r>
          </w:p>
          <w:p>
            <w:pPr>
              <w:spacing w:before="0" w:after="40"/>
            </w:pPr>
            <w:r>
              <w:rPr>
                <w:rFonts w:ascii="Cambria" w:hAnsi="Cambria" w:eastAsia="Cambria" w:cs="Cambria"/>
                <w:b w:val="0"/>
                <w:i w:val="0"/>
                <w:color w:val="C4C6C7"/>
                <w:sz w:val="26"/>
              </w:rPr>
              <w:t xml:space="preserve">Marlow &amp; Reeve Logistics</w:t>
            </w:r>
          </w:p>
          <w:p>
            <w:pPr>
              <w:spacing w:before="240" w:after="0"/>
              <w:pBdr>
                <w:top w:val="single" w:sz="6" w:space="8" w:color="62666A"/>
              </w:pBdr>
            </w:pPr>
            <w:r>
              <w:rPr>
                <w:rFonts w:ascii="Calibri" w:hAnsi="Calibri" w:eastAsia="Calibri" w:cs="Calibri"/>
                <w:b w:val="0"/>
                <w:i w:val="0"/>
                <w:color w:val="FFFFFF"/>
                <w:sz w:val="19"/>
              </w:rPr>
              <w:t xml:space="preserve">3 candidates   ·   14 October 2026   ·   Prepared by Priya Raman, Partner, Industrial Practice</w:t>
            </w:r>
          </w:p>
        </w:tc>
      </w:tr>
    </w:tbl>
    <w:p>
      <w:pPr>
        <w:keepNext/>
        <w:spacing w:before="32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6"/>
        </w:rPr>
        <w:t>Search summary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6464"/>
        <w:gridCol w:w="340"/>
        <w:gridCol w:w="2948"/>
      </w:tblGrid>
      <w:tr>
        <w:tc>
          <w:tcPr>
            <w:tcW w:type="dxa" w:w="6464"/>
            <w:vAlign w:val="top"/>
          </w:tcPr>
          <w:p>
            <w:pPr>
              <w:spacing w:before="0" w:after="120"/>
              <w:jc w:val="both"/>
            </w:pPr>
            <w:r>
              <w:rPr>
                <w:rFonts w:ascii="Calibri" w:hAnsi="Calibri" w:eastAsia="Calibri" w:cs="Calibri"/>
                <w:b w:val="0"/>
                <w:i w:val="0"/>
              </w:rPr>
              <w:t xml:space="preserve">The search covered UK and European operators in freight, contract logistics and rail, plus adjacent asset-heavy sectors the brief allowed. Candidates were assessed against the six requirements agreed at briefing, with first interviews held by video and in person between 22 September and 9 October.</w:t>
            </w:r>
          </w:p>
          <w:p>
            <w:pPr>
              <w:spacing w:before="0" w:after="120"/>
              <w:jc w:val="both"/>
            </w:pPr>
            <w:r>
              <w:rPr>
                <w:rFonts w:ascii="Calibri" w:hAnsi="Calibri" w:eastAsia="Calibri" w:cs="Calibri"/>
                <w:b w:val="0"/>
                <w:i w:val="0"/>
              </w:rPr>
              <w:t xml:space="preserve">The three candidates below are the strongest against the brief. All three have seen the position specification and agreed to be presented.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40"/>
          </w:tcPr>
          <w:p/>
        </w:tc>
        <w:tc>
          <w:tcPr>
            <w:tcW w:type="dxa" w:w="2948"/>
            <w:vAlign w:val="top"/>
            <w:shd w:val="clear" w:color="auto" w:fill="F1F2F3"/>
            <w:tcMar>
              <w:top w:w="150" w:type="dxa"/>
              <w:left w:w="220" w:type="dxa"/>
              <w:bottom w:w="180" w:type="dxa"/>
              <w:right w:w="22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The search in numbers</w:t>
            </w:r>
          </w:p>
          <w:p>
            <w:pPr>
              <w:keepNext/>
              <w:spacing w:before="100" w:after="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30"/>
              </w:rPr>
              <w:t xml:space="preserve">142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Executives identified</w:t>
            </w:r>
          </w:p>
          <w:p>
            <w:pPr>
              <w:keepNext/>
              <w:spacing w:before="100" w:after="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30"/>
              </w:rPr>
              <w:t xml:space="preserve">38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Candidates approached</w:t>
            </w:r>
          </w:p>
          <w:p>
            <w:pPr>
              <w:keepNext/>
              <w:spacing w:before="100" w:after="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30"/>
              </w:rPr>
              <w:t xml:space="preserve">11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First interviews</w:t>
            </w:r>
          </w:p>
          <w:p>
            <w:pPr>
              <w:keepNext/>
              <w:spacing w:before="100" w:after="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30"/>
              </w:rPr>
              <w:t xml:space="preserve">3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Shortlisted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32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6"/>
        </w:rPr>
        <w:t>The shortlist at a glance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54"/>
        <w:gridCol w:w="1984"/>
        <w:gridCol w:w="2268"/>
        <w:gridCol w:w="1417"/>
        <w:gridCol w:w="1304"/>
        <w:gridCol w:w="2325"/>
      </w:tblGrid>
      <w:tr>
        <w:trPr>
          <w:tblHeader/>
          <w:cantSplit/>
        </w:trPr>
        <w:tc>
          <w:tcPr>
            <w:tcW w:type="dxa" w:w="454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#</w:t>
            </w:r>
          </w:p>
        </w:tc>
        <w:tc>
          <w:tcPr>
            <w:tcW w:type="dxa" w:w="1984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Candidate</w:t>
            </w:r>
          </w:p>
        </w:tc>
        <w:tc>
          <w:tcPr>
            <w:tcW w:type="dxa" w:w="2268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Current role</w:t>
            </w:r>
          </w:p>
        </w:tc>
        <w:tc>
          <w:tcPr>
            <w:tcW w:type="dxa" w:w="1417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Location</w:t>
            </w:r>
          </w:p>
        </w:tc>
        <w:tc>
          <w:tcPr>
            <w:tcW w:type="dxa" w:w="1304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Availability</w:t>
            </w:r>
          </w:p>
        </w:tc>
        <w:tc>
          <w:tcPr>
            <w:tcW w:type="dxa" w:w="2325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Consultant’s view</w:t>
            </w:r>
          </w:p>
        </w:tc>
      </w:tr>
      <w:tr>
        <w:trPr>
          <w:cantSplit/>
        </w:trPr>
        <w:tc>
          <w:tcPr>
            <w:tcW w:type="dxa" w:w="454"/>
            <w:tcBorders>
              <w:bottom w:val="single" w:sz="4" w:space="0" w:color="DFE0E1"/>
            </w:tcBorders>
            <w:vAlign w:val="top"/>
            <w:tcMar>
              <w:top w:w="80" w:type="dxa"/>
              <w:left w:w="90" w:type="dxa"/>
              <w:bottom w:w="80" w:type="dxa"/>
              <w:right w:w="90" w:type="dxa"/>
            </w:tcMar>
          </w:tcPr>
          <w:p>
            <w:r>
              <w:rPr>
                <w:rFonts w:ascii="Cambria" w:hAnsi="Cambria" w:eastAsia="Cambria" w:cs="Cambria"/>
                <w:b w:val="0"/>
                <w:i w:val="0"/>
                <w:color w:val="5F6B77"/>
                <w:sz w:val="22"/>
              </w:rPr>
              <w:t xml:space="preserve">1</w:t>
            </w:r>
          </w:p>
        </w:tc>
        <w:tc>
          <w:tcPr>
            <w:tcW w:type="dxa" w:w="1984"/>
            <w:tcBorders>
              <w:bottom w:val="single" w:sz="4" w:space="0" w:color="DFE0E1"/>
            </w:tcBorders>
            <w:vAlign w:val="top"/>
            <w:tcMar>
              <w:top w:w="80" w:type="dxa"/>
              <w:left w:w="90" w:type="dxa"/>
              <w:bottom w:w="8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Daniel Okafor</w:t>
            </w:r>
          </w:p>
        </w:tc>
        <w:tc>
          <w:tcPr>
            <w:tcW w:type="dxa" w:w="2268"/>
            <w:tcBorders>
              <w:bottom w:val="single" w:sz="4" w:space="0" w:color="DFE0E1"/>
            </w:tcBorders>
            <w:vAlign w:val="top"/>
            <w:tcMar>
              <w:top w:w="80" w:type="dxa"/>
              <w:left w:w="90" w:type="dxa"/>
              <w:bottom w:w="8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Chief Operating Officer, Stratton Rail &amp; Freight</w:t>
            </w:r>
          </w:p>
        </w:tc>
        <w:tc>
          <w:tcPr>
            <w:tcW w:type="dxa" w:w="1417"/>
            <w:tcBorders>
              <w:bottom w:val="single" w:sz="4" w:space="0" w:color="DFE0E1"/>
            </w:tcBorders>
            <w:vAlign w:val="top"/>
            <w:tcMar>
              <w:top w:w="80" w:type="dxa"/>
              <w:left w:w="90" w:type="dxa"/>
              <w:bottom w:w="8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Birmingham, UK</w:t>
            </w:r>
          </w:p>
        </w:tc>
        <w:tc>
          <w:tcPr>
            <w:tcW w:type="dxa" w:w="1304"/>
            <w:tcBorders>
              <w:bottom w:val="single" w:sz="4" w:space="0" w:color="DFE0E1"/>
            </w:tcBorders>
            <w:vAlign w:val="top"/>
            <w:tcMar>
              <w:top w:w="80" w:type="dxa"/>
              <w:left w:w="90" w:type="dxa"/>
              <w:bottom w:w="8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6 months' notice</w:t>
            </w:r>
          </w:p>
        </w:tc>
        <w:tc>
          <w:tcPr>
            <w:tcW w:type="dxa" w:w="2325"/>
            <w:tcBorders>
              <w:bottom w:val="single" w:sz="4" w:space="0" w:color="DFE0E1"/>
            </w:tcBorders>
            <w:vAlign w:val="top"/>
            <w:tcMar>
              <w:top w:w="80" w:type="dxa"/>
              <w:left w:w="90" w:type="dxa"/>
              <w:bottom w:w="8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/>
                <w:sz w:val="17"/>
              </w:rPr>
              <w:t xml:space="preserve">Sitting COO who has run the modernisation this role needs; strongest on safety.</w:t>
            </w:r>
          </w:p>
        </w:tc>
      </w:tr>
      <w:tr>
        <w:trPr>
          <w:cantSplit/>
        </w:trPr>
        <w:tc>
          <w:tcPr>
            <w:tcW w:type="dxa" w:w="454"/>
            <w:tcBorders>
              <w:bottom w:val="single" w:sz="4" w:space="0" w:color="DFE0E1"/>
            </w:tcBorders>
            <w:vAlign w:val="top"/>
            <w:tcMar>
              <w:top w:w="80" w:type="dxa"/>
              <w:left w:w="90" w:type="dxa"/>
              <w:bottom w:w="80" w:type="dxa"/>
              <w:right w:w="90" w:type="dxa"/>
            </w:tcMar>
          </w:tcPr>
          <w:p>
            <w:r>
              <w:rPr>
                <w:rFonts w:ascii="Cambria" w:hAnsi="Cambria" w:eastAsia="Cambria" w:cs="Cambria"/>
                <w:b w:val="0"/>
                <w:i w:val="0"/>
                <w:color w:val="5F6B77"/>
                <w:sz w:val="22"/>
              </w:rPr>
              <w:t xml:space="preserve">2</w:t>
            </w:r>
          </w:p>
        </w:tc>
        <w:tc>
          <w:tcPr>
            <w:tcW w:type="dxa" w:w="1984"/>
            <w:tcBorders>
              <w:bottom w:val="single" w:sz="4" w:space="0" w:color="DFE0E1"/>
            </w:tcBorders>
            <w:vAlign w:val="top"/>
            <w:tcMar>
              <w:top w:w="80" w:type="dxa"/>
              <w:left w:w="90" w:type="dxa"/>
              <w:bottom w:w="8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Hannah Whitcombe</w:t>
            </w:r>
          </w:p>
        </w:tc>
        <w:tc>
          <w:tcPr>
            <w:tcW w:type="dxa" w:w="2268"/>
            <w:tcBorders>
              <w:bottom w:val="single" w:sz="4" w:space="0" w:color="DFE0E1"/>
            </w:tcBorders>
            <w:vAlign w:val="top"/>
            <w:tcMar>
              <w:top w:w="80" w:type="dxa"/>
              <w:left w:w="90" w:type="dxa"/>
              <w:bottom w:w="8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Managing Director, UK Contract Logistics, Penhallow &amp; Brice Group</w:t>
            </w:r>
          </w:p>
        </w:tc>
        <w:tc>
          <w:tcPr>
            <w:tcW w:type="dxa" w:w="1417"/>
            <w:tcBorders>
              <w:bottom w:val="single" w:sz="4" w:space="0" w:color="DFE0E1"/>
            </w:tcBorders>
            <w:vAlign w:val="top"/>
            <w:tcMar>
              <w:top w:w="80" w:type="dxa"/>
              <w:left w:w="90" w:type="dxa"/>
              <w:bottom w:w="8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Manchester, UK</w:t>
            </w:r>
          </w:p>
        </w:tc>
        <w:tc>
          <w:tcPr>
            <w:tcW w:type="dxa" w:w="1304"/>
            <w:tcBorders>
              <w:bottom w:val="single" w:sz="4" w:space="0" w:color="DFE0E1"/>
            </w:tcBorders>
            <w:vAlign w:val="top"/>
            <w:tcMar>
              <w:top w:w="80" w:type="dxa"/>
              <w:left w:w="90" w:type="dxa"/>
              <w:bottom w:w="8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3 months' notice</w:t>
            </w:r>
          </w:p>
        </w:tc>
        <w:tc>
          <w:tcPr>
            <w:tcW w:type="dxa" w:w="2325"/>
            <w:tcBorders>
              <w:bottom w:val="single" w:sz="4" w:space="0" w:color="DFE0E1"/>
            </w:tcBorders>
            <w:vAlign w:val="top"/>
            <w:tcMar>
              <w:top w:w="80" w:type="dxa"/>
              <w:left w:w="90" w:type="dxa"/>
              <w:bottom w:w="8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/>
                <w:sz w:val="17"/>
              </w:rPr>
              <w:t xml:space="preserve">Commercially strongest; runs a larger P&amp;L, lighter on rail and unions.</w:t>
            </w:r>
          </w:p>
        </w:tc>
      </w:tr>
      <w:tr>
        <w:trPr>
          <w:cantSplit/>
        </w:trPr>
        <w:tc>
          <w:tcPr>
            <w:tcW w:type="dxa" w:w="454"/>
            <w:tcBorders>
              <w:bottom w:val="single" w:sz="4" w:space="0" w:color="DFE0E1"/>
            </w:tcBorders>
            <w:vAlign w:val="top"/>
            <w:tcMar>
              <w:top w:w="80" w:type="dxa"/>
              <w:left w:w="90" w:type="dxa"/>
              <w:bottom w:w="80" w:type="dxa"/>
              <w:right w:w="90" w:type="dxa"/>
            </w:tcMar>
          </w:tcPr>
          <w:p>
            <w:r>
              <w:rPr>
                <w:rFonts w:ascii="Cambria" w:hAnsi="Cambria" w:eastAsia="Cambria" w:cs="Cambria"/>
                <w:b w:val="0"/>
                <w:i w:val="0"/>
                <w:color w:val="5F6B77"/>
                <w:sz w:val="22"/>
              </w:rPr>
              <w:t xml:space="preserve">3</w:t>
            </w:r>
          </w:p>
        </w:tc>
        <w:tc>
          <w:tcPr>
            <w:tcW w:type="dxa" w:w="1984"/>
            <w:tcBorders>
              <w:bottom w:val="single" w:sz="4" w:space="0" w:color="DFE0E1"/>
            </w:tcBorders>
            <w:vAlign w:val="top"/>
            <w:tcMar>
              <w:top w:w="80" w:type="dxa"/>
              <w:left w:w="90" w:type="dxa"/>
              <w:bottom w:w="8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Marcus Oyelaran</w:t>
            </w:r>
          </w:p>
        </w:tc>
        <w:tc>
          <w:tcPr>
            <w:tcW w:type="dxa" w:w="2268"/>
            <w:tcBorders>
              <w:bottom w:val="single" w:sz="4" w:space="0" w:color="DFE0E1"/>
            </w:tcBorders>
            <w:vAlign w:val="top"/>
            <w:tcMar>
              <w:top w:w="80" w:type="dxa"/>
              <w:left w:w="90" w:type="dxa"/>
              <w:bottom w:w="8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Chief Operating Officer, Tolland Marine &amp; Energy</w:t>
            </w:r>
          </w:p>
        </w:tc>
        <w:tc>
          <w:tcPr>
            <w:tcW w:type="dxa" w:w="1417"/>
            <w:tcBorders>
              <w:bottom w:val="single" w:sz="4" w:space="0" w:color="DFE0E1"/>
            </w:tcBorders>
            <w:vAlign w:val="top"/>
            <w:tcMar>
              <w:top w:w="80" w:type="dxa"/>
              <w:left w:w="90" w:type="dxa"/>
              <w:bottom w:w="8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Aberdeen, UK</w:t>
            </w:r>
          </w:p>
        </w:tc>
        <w:tc>
          <w:tcPr>
            <w:tcW w:type="dxa" w:w="1304"/>
            <w:tcBorders>
              <w:bottom w:val="single" w:sz="4" w:space="0" w:color="DFE0E1"/>
            </w:tcBorders>
            <w:vAlign w:val="top"/>
            <w:tcMar>
              <w:top w:w="80" w:type="dxa"/>
              <w:left w:w="90" w:type="dxa"/>
              <w:bottom w:w="8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Immediate</w:t>
            </w:r>
          </w:p>
        </w:tc>
        <w:tc>
          <w:tcPr>
            <w:tcW w:type="dxa" w:w="2325"/>
            <w:tcBorders>
              <w:bottom w:val="single" w:sz="4" w:space="0" w:color="DFE0E1"/>
            </w:tcBorders>
            <w:vAlign w:val="top"/>
            <w:tcMar>
              <w:top w:w="80" w:type="dxa"/>
              <w:left w:w="90" w:type="dxa"/>
              <w:bottom w:w="8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/>
                <w:sz w:val="17"/>
              </w:rPr>
              <w:t xml:space="preserve">Proven safety turnaround in a harsh environment; would relocate.</w:t>
            </w:r>
          </w:p>
        </w:tc>
      </w:tr>
    </w:tbl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324"/>
        <w:gridCol w:w="7428"/>
      </w:tblGrid>
      <w:tr>
        <w:tc>
          <w:tcPr>
            <w:tcW w:type="dxa" w:w="2324"/>
            <w:vAlign w:val="center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spacing w:before="0" w:after="0" w:line="240" w:lineRule="auto"/>
              <w:jc w:val="left"/>
              <w:rPr>
                <w:sz w:val="2"/>
              </w:rPr>
            </w:pPr>
            <w:r>
              <w:drawing>
                <wp:inline distT="0" distB="0" distL="0" distR="0">
                  <wp:extent cx="1296000" cy="1080000"/>
                  <wp:effectExtent l="0" t="0" r="0" b="0"/>
                  <wp:docPr id="1001" name="Candidate photo frame 770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96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after="0" w:line="240" w:lineRule="auto"/>
                                <w:jc w:val="lef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sz w:val="2"/>
                                </w:rPr>
                                <w:t xml:space="preserve"/>
                              </w:r>
                              <w:r>
                                <w:drawing>
                                  <wp:inline xmlns:pic="http://schemas.openxmlformats.org/drawingml/2006/picture">
                                    <wp:extent cx="1080000" cy="1080000"/>
                                    <wp:docPr id="1002" name="Picture 7703"/>
                                    <wp:cNvGraphicFramePr>
                                      <a:graphicFrameLocks noChangeAspect="1"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daniel-okafor.jpg"/>
                                            <pic:cNvPicPr/>
                                          </pic:nvPicPr>
                                          <pic:blipFill>
                                            <a:blip r:embed="rId1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80000" cy="1080000"/>
                                            </a:xfrm>
                                            <a:prstGeom prst="rect"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 xml:space="preserve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</wp:inline>
              </w:drawing>
            </w:r>
          </w:p>
        </w:tc>
        <w:tc>
          <w:tcPr>
            <w:tcW w:type="dxa" w:w="7428"/>
            <w:vAlign w:val="center"/>
            <w:tcMar>
              <w:top w:w="0" w:type="dxa"/>
              <w:left w:w="200" w:type="dxa"/>
              <w:bottom w:w="0" w:type="dxa"/>
              <w:right w:w="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 xml:space="preserve">Candidate 1 of 3</w:t>
            </w:r>
          </w:p>
          <w:p>
            <w:pPr>
              <w:spacing w:before="0" w:after="4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44"/>
              </w:rPr>
              <w:t xml:space="preserve">Daniel Okafor</w:t>
            </w:r>
          </w:p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21"/>
              </w:rPr>
              <w:t xml:space="preserve">Chief Operating Officer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20"/>
              </w:rPr>
              <w:t xml:space="preserve">   ·   Stratton Rail &amp; Freight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Birmingham, UK</w:t>
            </w:r>
          </w:p>
        </w:tc>
      </w:tr>
    </w:tbl>
    <w:p>
      <w:pPr>
        <w:spacing w:before="0" w:after="0" w:line="1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2" w:type="dxa"/>
        <w:jc w:val="left"/>
        <w:tblInd w:w="2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c>
          <w:tcPr>
            <w:tcW w:type="dxa" w:w="9752"/>
            <w:shd w:val="clear" w:color="auto" w:fill="F1F2F3"/>
            <w:tcMar>
              <w:top w:w="110" w:type="dxa"/>
              <w:left w:w="220" w:type="dxa"/>
              <w:bottom w:w="120" w:type="dxa"/>
              <w:right w:w="22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Availability and terms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4"/>
              </w:rPr>
              <w:t xml:space="preserve">   as stated by the candidate</w:t>
            </w:r>
          </w:p>
          <w:tbl>
            <w:tblPr>
              <w:tblLook w:firstColumn="1" w:firstRow="1" w:lastColumn="0" w:lastRow="0" w:noHBand="0" w:noVBand="1" w:val="04A0"/>
              <w:tblW w:w="9312" w:type="dxa"/>
              <w:tblLayout w:type="fixed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68"/>
              <w:gridCol w:w="7044"/>
            </w:tblGrid>
            <w:tr>
              <w:tc>
                <w:tcPr>
                  <w:tcW w:type="dxa" w:w="2268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7"/>
                    </w:rPr>
                    <w:t xml:space="preserve">Notice period</w:t>
                  </w:r>
                </w:p>
              </w:tc>
              <w:tc>
                <w:tcPr>
                  <w:tcW w:type="dxa" w:w="7044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8"/>
                    </w:rPr>
                    <w:t xml:space="preserve">6 months (employer may agree 4)</w:t>
                  </w:r>
                </w:p>
              </w:tc>
            </w:tr>
            <w:tr>
              <w:tc>
                <w:tcPr>
                  <w:tcW w:type="dxa" w:w="2268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7"/>
                    </w:rPr>
                    <w:t xml:space="preserve">Current package</w:t>
                  </w:r>
                </w:p>
              </w:tc>
              <w:tc>
                <w:tcPr>
                  <w:tcW w:type="dxa" w:w="7044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8"/>
                    </w:rPr>
                    <w:t xml:space="preserve">£245,000 base · 60% bonus · LTIP</w:t>
                  </w:r>
                </w:p>
              </w:tc>
            </w:tr>
            <w:tr>
              <w:tc>
                <w:tcPr>
                  <w:tcW w:type="dxa" w:w="2268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7"/>
                    </w:rPr>
                    <w:t xml:space="preserve">Expectation</w:t>
                  </w:r>
                </w:p>
              </w:tc>
              <w:tc>
                <w:tcPr>
                  <w:tcW w:type="dxa" w:w="7044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8"/>
                    </w:rPr>
                    <w:t xml:space="preserve">£260,000 – £290,000 base plus LTIP</w:t>
                  </w:r>
                </w:p>
              </w:tc>
            </w:tr>
            <w:tr>
              <w:tc>
                <w:tcPr>
                  <w:tcW w:type="dxa" w:w="2268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7"/>
                    </w:rPr>
                    <w:t xml:space="preserve">Other processes</w:t>
                  </w:r>
                </w:p>
              </w:tc>
              <w:tc>
                <w:tcPr>
                  <w:tcW w:type="dxa" w:w="7044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8"/>
                    </w:rPr>
                    <w:t xml:space="preserve">One other process at second interview</w:t>
                  </w:r>
                </w:p>
              </w:tc>
            </w:tr>
          </w:tbl>
          <w:p/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Profile</w:t>
      </w:r>
    </w:p>
    <w:p>
      <w:pPr>
        <w:spacing w:before="0" w:after="40"/>
        <w:jc w:val="both"/>
      </w:pPr>
      <w:r>
        <w:rPr>
          <w:rFonts w:ascii="Calibri" w:hAnsi="Calibri" w:eastAsia="Calibri" w:cs="Calibri"/>
          <w:b w:val="0"/>
          <w:i w:val="0"/>
        </w:rPr>
        <w:t xml:space="preserve">Daniel is Chief Operating Officer of Stratton Rail &amp; Freight, a £410m freight operator with 2,100 people across the UK &amp; EU. A chartered civil engineer, he has spent 22 years in operations, seven of them on an executive committee, and has led a £120m network modernisation.</w:t>
      </w:r>
    </w:p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Consultant’s view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752"/>
      </w:tblGrid>
      <w:tr>
        <w:tc>
          <w:tcPr>
            <w:tcW w:type="dxa" w:w="9752"/>
            <w:tcBorders>
              <w:left w:val="single" w:sz="24" w:space="0" w:color="5F6B77"/>
            </w:tcBorders>
            <w:tcMar>
              <w:top w:w="20" w:type="dxa"/>
              <w:left w:w="200" w:type="dxa"/>
              <w:bottom w:w="20" w:type="dxa"/>
              <w:right w:w="0" w:type="dxa"/>
            </w:tcMar>
          </w:tcPr>
          <w:p>
            <w:pPr>
              <w:jc w:val="both"/>
            </w:pPr>
            <w:r>
              <w:rPr>
                <w:rFonts w:ascii="Calibri" w:hAnsi="Calibri" w:eastAsia="Calibri" w:cs="Calibri"/>
                <w:b w:val="0"/>
                <w:i/>
                <w:sz w:val="19"/>
              </w:rPr>
              <w:t xml:space="preserve">Daniel is the closest match to the brief: he has already modernised a unionised network of similar size and improved margin while doing it. He is measured and direct, and spoke well about bringing a workforce with him. The main question is his notice period.</w:t>
            </w:r>
          </w:p>
        </w:tc>
      </w:tr>
    </w:tbl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Fit against the brief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608"/>
        <w:gridCol w:w="5783"/>
        <w:gridCol w:w="1361"/>
      </w:tblGrid>
      <w:tr>
        <w:trPr>
          <w:tblHeader/>
          <w:cantSplit/>
        </w:trPr>
        <w:tc>
          <w:tcPr>
            <w:tcW w:type="dxa" w:w="2608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Requirement</w:t>
            </w:r>
          </w:p>
        </w:tc>
        <w:tc>
          <w:tcPr>
            <w:tcW w:type="dxa" w:w="5783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Evidence</w:t>
            </w:r>
          </w:p>
        </w:tc>
        <w:tc>
          <w:tcPr>
            <w:tcW w:type="dxa" w:w="1361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Assessment</w:t>
            </w:r>
          </w:p>
        </w:tc>
      </w:tr>
      <w:tr>
        <w:trPr>
          <w:cantSplit/>
        </w:trPr>
        <w:tc>
          <w:tcPr>
            <w:tcW w:type="dxa" w:w="2608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Network modernisation at scale</w:t>
            </w:r>
          </w:p>
        </w:tc>
        <w:tc>
          <w:tcPr>
            <w:tcW w:type="dxa" w:w="5783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Led a £120m modernisation that lifted EBITDA margin from 7.9% to 11.2% in three years.</w:t>
            </w:r>
          </w:p>
        </w:tc>
        <w:tc>
          <w:tcPr>
            <w:tcW w:type="dxa" w:w="1361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Strong</w:t>
            </w:r>
          </w:p>
        </w:tc>
      </w:tr>
      <w:tr>
        <w:trPr>
          <w:cantSplit/>
        </w:trPr>
        <w:tc>
          <w:tcPr>
            <w:tcW w:type="dxa" w:w="2608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Unionised workforce relations</w:t>
            </w:r>
          </w:p>
        </w:tc>
        <w:tc>
          <w:tcPr>
            <w:tcW w:type="dxa" w:w="5783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Negotiated two multi-year agreements with no industrial action across 2,100 staff.</w:t>
            </w:r>
          </w:p>
        </w:tc>
        <w:tc>
          <w:tcPr>
            <w:tcW w:type="dxa" w:w="1361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Strong</w:t>
            </w:r>
          </w:p>
        </w:tc>
      </w:tr>
      <w:tr>
        <w:trPr>
          <w:cantSplit/>
        </w:trPr>
        <w:tc>
          <w:tcPr>
            <w:tcW w:type="dxa" w:w="2608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Safety leadership</w:t>
            </w:r>
          </w:p>
        </w:tc>
        <w:tc>
          <w:tcPr>
            <w:tcW w:type="dxa" w:w="5783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Cut lost-time injuries by 46% between 2020 and 2024.</w:t>
            </w:r>
          </w:p>
        </w:tc>
        <w:tc>
          <w:tcPr>
            <w:tcW w:type="dxa" w:w="1361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Strong</w:t>
            </w:r>
          </w:p>
        </w:tc>
      </w:tr>
      <w:tr>
        <w:trPr>
          <w:cantSplit/>
        </w:trPr>
        <w:tc>
          <w:tcPr>
            <w:tcW w:type="dxa" w:w="2608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plc executive committee experience</w:t>
            </w:r>
          </w:p>
        </w:tc>
        <w:tc>
          <w:tcPr>
            <w:tcW w:type="dxa" w:w="5783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Seven years on Stratton's executive committee; the group is privately owned.</w:t>
            </w:r>
          </w:p>
        </w:tc>
        <w:tc>
          <w:tcPr>
            <w:tcW w:type="dxa" w:w="1361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Partial</w:t>
            </w:r>
          </w:p>
        </w:tc>
      </w:tr>
    </w:tbl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Career summary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8051"/>
      </w:tblGrid>
      <w:tr>
        <w:trPr>
          <w:cantSplit/>
        </w:trPr>
        <w:tc>
          <w:tcPr>
            <w:tcW w:type="dxa" w:w="1701"/>
            <w:tcMar>
              <w:top w:w="40" w:type="dxa"/>
              <w:left w:w="0" w:type="dxa"/>
              <w:bottom w:w="40" w:type="dxa"/>
              <w:right w:w="14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2019 – present</w:t>
            </w:r>
          </w:p>
        </w:tc>
        <w:tc>
          <w:tcPr>
            <w:tcW w:type="dxa" w:w="8051"/>
            <w:tcMar>
              <w:top w:w="40" w:type="dxa"/>
              <w:left w:w="0" w:type="dxa"/>
              <w:bottom w:w="4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Chief Operating Officer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, Stratton Rail &amp; Freight</w:t>
            </w:r>
          </w:p>
        </w:tc>
      </w:tr>
      <w:tr>
        <w:trPr>
          <w:cantSplit/>
        </w:trPr>
        <w:tc>
          <w:tcPr>
            <w:tcW w:type="dxa" w:w="1701"/>
            <w:tcMar>
              <w:top w:w="40" w:type="dxa"/>
              <w:left w:w="0" w:type="dxa"/>
              <w:bottom w:w="40" w:type="dxa"/>
              <w:right w:w="14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2014 – 2019</w:t>
            </w:r>
          </w:p>
        </w:tc>
        <w:tc>
          <w:tcPr>
            <w:tcW w:type="dxa" w:w="8051"/>
            <w:tcMar>
              <w:top w:w="40" w:type="dxa"/>
              <w:left w:w="0" w:type="dxa"/>
              <w:bottom w:w="4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Operations Director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, Stratton Rail &amp; Freight</w:t>
            </w:r>
          </w:p>
        </w:tc>
      </w:tr>
      <w:tr>
        <w:trPr>
          <w:cantSplit/>
        </w:trPr>
        <w:tc>
          <w:tcPr>
            <w:tcW w:type="dxa" w:w="1701"/>
            <w:tcMar>
              <w:top w:w="40" w:type="dxa"/>
              <w:left w:w="0" w:type="dxa"/>
              <w:bottom w:w="40" w:type="dxa"/>
              <w:right w:w="14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2008 – 2014</w:t>
            </w:r>
          </w:p>
        </w:tc>
        <w:tc>
          <w:tcPr>
            <w:tcW w:type="dxa" w:w="8051"/>
            <w:tcMar>
              <w:top w:w="40" w:type="dxa"/>
              <w:left w:w="0" w:type="dxa"/>
              <w:bottom w:w="4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Head of Network Engineering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, Corran Freightways</w:t>
            </w:r>
          </w:p>
        </w:tc>
      </w:tr>
      <w:tr>
        <w:trPr>
          <w:cantSplit/>
        </w:trPr>
        <w:tc>
          <w:tcPr>
            <w:tcW w:type="dxa" w:w="1701"/>
            <w:tcMar>
              <w:top w:w="40" w:type="dxa"/>
              <w:left w:w="0" w:type="dxa"/>
              <w:bottom w:w="40" w:type="dxa"/>
              <w:right w:w="14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2002 – 2008</w:t>
            </w:r>
          </w:p>
        </w:tc>
        <w:tc>
          <w:tcPr>
            <w:tcW w:type="dxa" w:w="8051"/>
            <w:tcMar>
              <w:top w:w="40" w:type="dxa"/>
              <w:left w:w="0" w:type="dxa"/>
              <w:bottom w:w="4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Senior Engineer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, Fenmore Infrastructure</w:t>
            </w:r>
          </w:p>
        </w:tc>
      </w:tr>
    </w:tbl>
    <w:p>
      <w:pPr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953"/>
        <w:gridCol w:w="340"/>
        <w:gridCol w:w="5459"/>
      </w:tblGrid>
      <w:tr>
        <w:tc>
          <w:tcPr>
            <w:tcW w:type="dxa" w:w="3953"/>
            <w:vAlign w:val="top"/>
          </w:tcPr>
          <w:p>
            <w:pPr>
              <w:keepNext/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Education and qualifications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BEng (Hons) Civil Engineering, University of Leeds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Chartered Engineer (CEng), ICE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40"/>
          </w:tcPr>
          <w:p/>
        </w:tc>
        <w:tc>
          <w:tcPr>
            <w:tcW w:type="dxa" w:w="5459"/>
            <w:vAlign w:val="top"/>
          </w:tcPr>
          <w:p>
            <w:pPr>
              <w:keepNext/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Motivation</w:t>
            </w:r>
          </w:p>
          <w:p>
            <w:pPr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Wants a larger, more diversified group and a seat on a plc executive committee.</w:t>
            </w:r>
          </w:p>
          <w:p>
            <w:pPr>
              <w:keepNext/>
              <w:spacing w:before="8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Points to explore at interview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Whether his employer will agree a four-month notice period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Depth of experience with listed-company investors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324"/>
        <w:gridCol w:w="7428"/>
      </w:tblGrid>
      <w:tr>
        <w:tc>
          <w:tcPr>
            <w:tcW w:type="dxa" w:w="2324"/>
            <w:vAlign w:val="center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spacing w:before="0" w:after="0" w:line="240" w:lineRule="auto"/>
              <w:jc w:val="left"/>
              <w:rPr>
                <w:sz w:val="2"/>
              </w:rPr>
            </w:pPr>
            <w:r>
              <w:drawing>
                <wp:inline distT="0" distB="0" distL="0" distR="0">
                  <wp:extent cx="1296000" cy="1080000"/>
                  <wp:effectExtent l="0" t="0" r="0" b="0"/>
                  <wp:docPr id="1003" name="Candidate photo frame 770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96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after="0" w:line="240" w:lineRule="auto"/>
                                <w:jc w:val="lef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sz w:val="2"/>
                                </w:rPr>
                                <w:t xml:space="preserve"/>
                              </w:r>
                              <w:r>
                                <w:drawing>
                                  <wp:inline xmlns:pic="http://schemas.openxmlformats.org/drawingml/2006/picture">
                                    <wp:extent cx="1080000" cy="1080000"/>
                                    <wp:docPr id="1004" name="Picture 7703"/>
                                    <wp:cNvGraphicFramePr>
                                      <a:graphicFrameLocks noChangeAspect="1"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hannah-whitcombe.jpg"/>
                                            <pic:cNvPicPr/>
                                          </pic:nvPicPr>
                                          <pic:blipFill>
                                            <a:blip r:embed="rId12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80000" cy="1080000"/>
                                            </a:xfrm>
                                            <a:prstGeom prst="rect"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 xml:space="preserve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</wp:inline>
              </w:drawing>
            </w:r>
          </w:p>
        </w:tc>
        <w:tc>
          <w:tcPr>
            <w:tcW w:type="dxa" w:w="7428"/>
            <w:vAlign w:val="center"/>
            <w:tcMar>
              <w:top w:w="0" w:type="dxa"/>
              <w:left w:w="200" w:type="dxa"/>
              <w:bottom w:w="0" w:type="dxa"/>
              <w:right w:w="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 xml:space="preserve">Candidate 2 of 3</w:t>
            </w:r>
          </w:p>
          <w:p>
            <w:pPr>
              <w:spacing w:before="0" w:after="4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44"/>
              </w:rPr>
              <w:t xml:space="preserve">Hannah Whitcombe</w:t>
            </w:r>
          </w:p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21"/>
              </w:rPr>
              <w:t xml:space="preserve">Managing Director, UK Contract Logistics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20"/>
              </w:rPr>
              <w:t xml:space="preserve">   ·   Penhallow &amp; Brice Group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Manchester, UK</w:t>
            </w:r>
          </w:p>
        </w:tc>
      </w:tr>
    </w:tbl>
    <w:p>
      <w:pPr>
        <w:spacing w:before="0" w:after="0" w:line="1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2" w:type="dxa"/>
        <w:jc w:val="left"/>
        <w:tblInd w:w="2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c>
          <w:tcPr>
            <w:tcW w:type="dxa" w:w="9752"/>
            <w:shd w:val="clear" w:color="auto" w:fill="F1F2F3"/>
            <w:tcMar>
              <w:top w:w="110" w:type="dxa"/>
              <w:left w:w="220" w:type="dxa"/>
              <w:bottom w:w="120" w:type="dxa"/>
              <w:right w:w="22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Availability and terms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4"/>
              </w:rPr>
              <w:t xml:space="preserve">   as stated by the candidate</w:t>
            </w:r>
          </w:p>
          <w:tbl>
            <w:tblPr>
              <w:tblLook w:firstColumn="1" w:firstRow="1" w:lastColumn="0" w:lastRow="0" w:noHBand="0" w:noVBand="1" w:val="04A0"/>
              <w:tblW w:w="9312" w:type="dxa"/>
              <w:tblLayout w:type="fixed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68"/>
              <w:gridCol w:w="7044"/>
            </w:tblGrid>
            <w:tr>
              <w:tc>
                <w:tcPr>
                  <w:tcW w:type="dxa" w:w="2268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7"/>
                    </w:rPr>
                    <w:t xml:space="preserve">Notice period</w:t>
                  </w:r>
                </w:p>
              </w:tc>
              <w:tc>
                <w:tcPr>
                  <w:tcW w:type="dxa" w:w="7044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8"/>
                    </w:rPr>
                    <w:t xml:space="preserve">3 months</w:t>
                  </w:r>
                </w:p>
              </w:tc>
            </w:tr>
            <w:tr>
              <w:tc>
                <w:tcPr>
                  <w:tcW w:type="dxa" w:w="2268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7"/>
                    </w:rPr>
                    <w:t xml:space="preserve">Current package</w:t>
                  </w:r>
                </w:p>
              </w:tc>
              <w:tc>
                <w:tcPr>
                  <w:tcW w:type="dxa" w:w="7044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8"/>
                    </w:rPr>
                    <w:t xml:space="preserve">£230,000 base · 50% bonus</w:t>
                  </w:r>
                </w:p>
              </w:tc>
            </w:tr>
            <w:tr>
              <w:tc>
                <w:tcPr>
                  <w:tcW w:type="dxa" w:w="2268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7"/>
                    </w:rPr>
                    <w:t xml:space="preserve">Expectation</w:t>
                  </w:r>
                </w:p>
              </w:tc>
              <w:tc>
                <w:tcPr>
                  <w:tcW w:type="dxa" w:w="7044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8"/>
                    </w:rPr>
                    <w:t xml:space="preserve">Around £260,000 base</w:t>
                  </w:r>
                </w:p>
              </w:tc>
            </w:tr>
          </w:tbl>
          <w:p/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Profile</w:t>
      </w:r>
    </w:p>
    <w:p>
      <w:pPr>
        <w:spacing w:before="0" w:after="40"/>
        <w:jc w:val="both"/>
      </w:pPr>
      <w:r>
        <w:rPr>
          <w:rFonts w:ascii="Calibri" w:hAnsi="Calibri" w:eastAsia="Calibri" w:cs="Calibri"/>
          <w:b w:val="0"/>
          <w:i w:val="0"/>
        </w:rPr>
        <w:t xml:space="preserve">Hannah runs Penhallow &amp; Brice Group's UK contract logistics business, a £580m P&amp;L with 3,400 people and 31 sites. She joined as Commercial Director in 2016 and has grown revenue by a third through new retail and healthcare contracts.</w:t>
      </w:r>
    </w:p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Consultant’s view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752"/>
      </w:tblGrid>
      <w:tr>
        <w:tc>
          <w:tcPr>
            <w:tcW w:type="dxa" w:w="9752"/>
            <w:tcBorders>
              <w:left w:val="single" w:sz="24" w:space="0" w:color="5F6B77"/>
            </w:tcBorders>
            <w:tcMar>
              <w:top w:w="20" w:type="dxa"/>
              <w:left w:w="200" w:type="dxa"/>
              <w:bottom w:w="20" w:type="dxa"/>
              <w:right w:w="0" w:type="dxa"/>
            </w:tcMar>
          </w:tcPr>
          <w:p>
            <w:pPr>
              <w:jc w:val="both"/>
            </w:pPr>
            <w:r>
              <w:rPr>
                <w:rFonts w:ascii="Calibri" w:hAnsi="Calibri" w:eastAsia="Calibri" w:cs="Calibri"/>
                <w:b w:val="0"/>
                <w:i/>
                <w:sz w:val="19"/>
              </w:rPr>
              <w:t xml:space="preserve">Hannah brings the strongest commercial record on the shortlist and a larger P&amp;L than the role. She has less experience of unionised and rail operations, which she acknowledged openly, and would need strong support on safety-critical engineering.</w:t>
            </w:r>
          </w:p>
        </w:tc>
      </w:tr>
    </w:tbl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Fit against the brief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608"/>
        <w:gridCol w:w="5783"/>
        <w:gridCol w:w="1361"/>
      </w:tblGrid>
      <w:tr>
        <w:trPr>
          <w:tblHeader/>
          <w:cantSplit/>
        </w:trPr>
        <w:tc>
          <w:tcPr>
            <w:tcW w:type="dxa" w:w="2608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Requirement</w:t>
            </w:r>
          </w:p>
        </w:tc>
        <w:tc>
          <w:tcPr>
            <w:tcW w:type="dxa" w:w="5783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Evidence</w:t>
            </w:r>
          </w:p>
        </w:tc>
        <w:tc>
          <w:tcPr>
            <w:tcW w:type="dxa" w:w="1361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Assessment</w:t>
            </w:r>
          </w:p>
        </w:tc>
      </w:tr>
      <w:tr>
        <w:trPr>
          <w:cantSplit/>
        </w:trPr>
        <w:tc>
          <w:tcPr>
            <w:tcW w:type="dxa" w:w="2608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Network modernisation at scale</w:t>
            </w:r>
          </w:p>
        </w:tc>
        <w:tc>
          <w:tcPr>
            <w:tcW w:type="dxa" w:w="5783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Led a £60m warehouse automation programme across 9 of 31 sites.</w:t>
            </w:r>
          </w:p>
        </w:tc>
        <w:tc>
          <w:tcPr>
            <w:tcW w:type="dxa" w:w="1361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Good</w:t>
            </w:r>
          </w:p>
        </w:tc>
      </w:tr>
      <w:tr>
        <w:trPr>
          <w:cantSplit/>
        </w:trPr>
        <w:tc>
          <w:tcPr>
            <w:tcW w:type="dxa" w:w="2608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Unionised workforce relations</w:t>
            </w:r>
          </w:p>
        </w:tc>
        <w:tc>
          <w:tcPr>
            <w:tcW w:type="dxa" w:w="5783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Limited exposure; most sites are non-unionised.</w:t>
            </w:r>
          </w:p>
        </w:tc>
        <w:tc>
          <w:tcPr>
            <w:tcW w:type="dxa" w:w="1361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Gap</w:t>
            </w:r>
          </w:p>
        </w:tc>
      </w:tr>
      <w:tr>
        <w:trPr>
          <w:cantSplit/>
        </w:trPr>
        <w:tc>
          <w:tcPr>
            <w:tcW w:type="dxa" w:w="2608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P&amp;L leadership</w:t>
            </w:r>
          </w:p>
        </w:tc>
        <w:tc>
          <w:tcPr>
            <w:tcW w:type="dxa" w:w="5783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Runs a £580m P&amp;L and grew revenue by 33% since 2018.</w:t>
            </w:r>
          </w:p>
        </w:tc>
        <w:tc>
          <w:tcPr>
            <w:tcW w:type="dxa" w:w="1361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Strong</w:t>
            </w:r>
          </w:p>
        </w:tc>
      </w:tr>
    </w:tbl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Career summary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8051"/>
      </w:tblGrid>
      <w:tr>
        <w:trPr>
          <w:cantSplit/>
        </w:trPr>
        <w:tc>
          <w:tcPr>
            <w:tcW w:type="dxa" w:w="1701"/>
            <w:tcMar>
              <w:top w:w="40" w:type="dxa"/>
              <w:left w:w="0" w:type="dxa"/>
              <w:bottom w:w="40" w:type="dxa"/>
              <w:right w:w="14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2020 – present</w:t>
            </w:r>
          </w:p>
        </w:tc>
        <w:tc>
          <w:tcPr>
            <w:tcW w:type="dxa" w:w="8051"/>
            <w:tcMar>
              <w:top w:w="40" w:type="dxa"/>
              <w:left w:w="0" w:type="dxa"/>
              <w:bottom w:w="4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Managing Director, UK Contract Logistics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, Penhallow &amp; Brice Group</w:t>
            </w:r>
          </w:p>
        </w:tc>
      </w:tr>
      <w:tr>
        <w:trPr>
          <w:cantSplit/>
        </w:trPr>
        <w:tc>
          <w:tcPr>
            <w:tcW w:type="dxa" w:w="1701"/>
            <w:tcMar>
              <w:top w:w="40" w:type="dxa"/>
              <w:left w:w="0" w:type="dxa"/>
              <w:bottom w:w="40" w:type="dxa"/>
              <w:right w:w="14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2016 – 2020</w:t>
            </w:r>
          </w:p>
        </w:tc>
        <w:tc>
          <w:tcPr>
            <w:tcW w:type="dxa" w:w="8051"/>
            <w:tcMar>
              <w:top w:w="40" w:type="dxa"/>
              <w:left w:w="0" w:type="dxa"/>
              <w:bottom w:w="4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Commercial Director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, Penhallow &amp; Brice Group</w:t>
            </w:r>
          </w:p>
        </w:tc>
      </w:tr>
      <w:tr>
        <w:trPr>
          <w:cantSplit/>
        </w:trPr>
        <w:tc>
          <w:tcPr>
            <w:tcW w:type="dxa" w:w="1701"/>
            <w:tcMar>
              <w:top w:w="40" w:type="dxa"/>
              <w:left w:w="0" w:type="dxa"/>
              <w:bottom w:w="40" w:type="dxa"/>
              <w:right w:w="14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2009 – 2016</w:t>
            </w:r>
          </w:p>
        </w:tc>
        <w:tc>
          <w:tcPr>
            <w:tcW w:type="dxa" w:w="8051"/>
            <w:tcMar>
              <w:top w:w="40" w:type="dxa"/>
              <w:left w:w="0" w:type="dxa"/>
              <w:bottom w:w="4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Head of Commercial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, Brightwell &amp; Co</w:t>
            </w:r>
          </w:p>
        </w:tc>
      </w:tr>
    </w:tbl>
    <w:p>
      <w:pPr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953"/>
        <w:gridCol w:w="340"/>
        <w:gridCol w:w="5459"/>
      </w:tblGrid>
      <w:tr>
        <w:tc>
          <w:tcPr>
            <w:tcW w:type="dxa" w:w="3953"/>
            <w:vAlign w:val="top"/>
          </w:tcPr>
          <w:p>
            <w:pPr>
              <w:keepNext/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Education and qualifications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MA Geography, University of Edinburgh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MBA, Warwick Business School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40"/>
          </w:tcPr>
          <w:p/>
        </w:tc>
        <w:tc>
          <w:tcPr>
            <w:tcW w:type="dxa" w:w="5459"/>
            <w:vAlign w:val="top"/>
          </w:tcPr>
          <w:p>
            <w:pPr>
              <w:keepNext/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Motivation</w:t>
            </w:r>
          </w:p>
          <w:p>
            <w:pPr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Wants to move from a divisional role to a group-wide operating role.</w:t>
            </w:r>
          </w:p>
          <w:p>
            <w:pPr>
              <w:keepNext/>
              <w:spacing w:before="8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Points to explore at interview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Approach to safety-critical engineering standards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Fit with a unionised workforce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324"/>
        <w:gridCol w:w="7428"/>
      </w:tblGrid>
      <w:tr>
        <w:tc>
          <w:tcPr>
            <w:tcW w:type="dxa" w:w="2324"/>
            <w:vAlign w:val="center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spacing w:before="0" w:after="0" w:line="240" w:lineRule="auto"/>
              <w:rPr>
                <w:sz w:val="2"/>
              </w:rPr>
            </w:pPr>
            <w:r>
              <w:drawing>
                <wp:inline distT="0" distB="0" distL="0" distR="0">
                  <wp:extent cx="936000" cy="936000"/>
                  <wp:effectExtent l="0" t="0" r="0" b="0"/>
                  <wp:docPr id="1005" name="Monogram 90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936000" cy="936000"/>
                          </a:xfrm>
                          <a:prstGeom prst="rect">
                            <a:avLst/>
                          </a:prstGeom>
                          <a:solidFill>
                            <a:srgbClr val="2E333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after="0" w:line="240" w:lineRule="auto"/>
                                <w:jc w:val="center"/>
                              </w:pPr>
                              <w:r>
                                <w:rPr>
                                  <w:rFonts w:ascii="Cambria" w:hAnsi="Cambria" w:eastAsia="Cambria" w:cs="Cambria"/>
                                  <w:color w:val="FFFFFF"/>
                                  <w:sz w:val="52"/>
                                </w:rPr>
                                <w:t xml:space="preserve">M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a:graphicData>
                  </a:graphic>
                </wp:inline>
              </w:drawing>
            </w:r>
          </w:p>
        </w:tc>
        <w:tc>
          <w:tcPr>
            <w:tcW w:type="dxa" w:w="7428"/>
            <w:vAlign w:val="center"/>
            <w:tcMar>
              <w:top w:w="0" w:type="dxa"/>
              <w:left w:w="200" w:type="dxa"/>
              <w:bottom w:w="0" w:type="dxa"/>
              <w:right w:w="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 xml:space="preserve">Candidate 3 of 3</w:t>
            </w:r>
          </w:p>
          <w:p>
            <w:pPr>
              <w:spacing w:before="0" w:after="4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44"/>
              </w:rPr>
              <w:t xml:space="preserve">Marcus Oyelaran</w:t>
            </w:r>
          </w:p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21"/>
              </w:rPr>
              <w:t xml:space="preserve">Chief Operating Officer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20"/>
              </w:rPr>
              <w:t xml:space="preserve">   ·   Tolland Marine &amp; Energy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Aberdeen, UK</w:t>
            </w:r>
          </w:p>
        </w:tc>
      </w:tr>
    </w:tbl>
    <w:p>
      <w:pPr>
        <w:spacing w:before="0" w:after="0" w:line="1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2" w:type="dxa"/>
        <w:jc w:val="left"/>
        <w:tblInd w:w="2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c>
          <w:tcPr>
            <w:tcW w:type="dxa" w:w="9752"/>
            <w:shd w:val="clear" w:color="auto" w:fill="F1F2F3"/>
            <w:tcMar>
              <w:top w:w="110" w:type="dxa"/>
              <w:left w:w="220" w:type="dxa"/>
              <w:bottom w:w="120" w:type="dxa"/>
              <w:right w:w="22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Availability and terms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4"/>
              </w:rPr>
              <w:t xml:space="preserve">   as stated by the candidate</w:t>
            </w:r>
          </w:p>
          <w:tbl>
            <w:tblPr>
              <w:tblLook w:firstColumn="1" w:firstRow="1" w:lastColumn="0" w:lastRow="0" w:noHBand="0" w:noVBand="1" w:val="04A0"/>
              <w:tblW w:w="9312" w:type="dxa"/>
              <w:tblLayout w:type="fixed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68"/>
              <w:gridCol w:w="7044"/>
            </w:tblGrid>
            <w:tr>
              <w:tc>
                <w:tcPr>
                  <w:tcW w:type="dxa" w:w="2268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7"/>
                    </w:rPr>
                    <w:t xml:space="preserve">Notice period</w:t>
                  </w:r>
                </w:p>
              </w:tc>
              <w:tc>
                <w:tcPr>
                  <w:tcW w:type="dxa" w:w="7044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8"/>
                    </w:rPr>
                    <w:t xml:space="preserve">Immediate (role ends December 2026)</w:t>
                  </w:r>
                </w:p>
              </w:tc>
            </w:tr>
            <w:tr>
              <w:tc>
                <w:tcPr>
                  <w:tcW w:type="dxa" w:w="2268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7"/>
                    </w:rPr>
                    <w:t xml:space="preserve">Expectation</w:t>
                  </w:r>
                </w:p>
              </w:tc>
              <w:tc>
                <w:tcPr>
                  <w:tcW w:type="dxa" w:w="7044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8"/>
                    </w:rPr>
                    <w:t xml:space="preserve">£250,000 – £270,000 base</w:t>
                  </w:r>
                </w:p>
              </w:tc>
            </w:tr>
          </w:tbl>
          <w:p/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Profile</w:t>
      </w:r>
    </w:p>
    <w:p>
      <w:pPr>
        <w:spacing w:before="0" w:after="40"/>
        <w:jc w:val="both"/>
      </w:pPr>
      <w:r>
        <w:rPr>
          <w:rFonts w:ascii="Calibri" w:hAnsi="Calibri" w:eastAsia="Calibri" w:cs="Calibri"/>
          <w:b w:val="0"/>
          <w:i w:val="0"/>
        </w:rPr>
        <w:t xml:space="preserve">Marcus is Chief Operating Officer of Tolland Marine &amp; Energy, which runs 42 offshore support vessels and 2,300 people across the North Sea and West Africa. A chartered marine engineer, he has cut lost-time injuries by 46% and raised fleet utilisation from 71% to 86%.</w:t>
      </w:r>
    </w:p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Fit against the brief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608"/>
        <w:gridCol w:w="5783"/>
        <w:gridCol w:w="1361"/>
      </w:tblGrid>
      <w:tr>
        <w:trPr>
          <w:tblHeader/>
          <w:cantSplit/>
        </w:trPr>
        <w:tc>
          <w:tcPr>
            <w:tcW w:type="dxa" w:w="2608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Requirement</w:t>
            </w:r>
          </w:p>
        </w:tc>
        <w:tc>
          <w:tcPr>
            <w:tcW w:type="dxa" w:w="5783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Evidence</w:t>
            </w:r>
          </w:p>
        </w:tc>
        <w:tc>
          <w:tcPr>
            <w:tcW w:type="dxa" w:w="1361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Assessment</w:t>
            </w:r>
          </w:p>
        </w:tc>
      </w:tr>
      <w:tr>
        <w:trPr>
          <w:cantSplit/>
        </w:trPr>
        <w:tc>
          <w:tcPr>
            <w:tcW w:type="dxa" w:w="2608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Safety leadership</w:t>
            </w:r>
          </w:p>
        </w:tc>
        <w:tc>
          <w:tcPr>
            <w:tcW w:type="dxa" w:w="5783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Cut lost-time injuries by 46% across a fleet of 42 vessels.</w:t>
            </w:r>
          </w:p>
        </w:tc>
        <w:tc>
          <w:tcPr>
            <w:tcW w:type="dxa" w:w="1361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Strong</w:t>
            </w:r>
          </w:p>
        </w:tc>
      </w:tr>
      <w:tr>
        <w:trPr>
          <w:cantSplit/>
        </w:trPr>
        <w:tc>
          <w:tcPr>
            <w:tcW w:type="dxa" w:w="2608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Network modernisation at scale</w:t>
            </w:r>
          </w:p>
        </w:tc>
        <w:tc>
          <w:tcPr>
            <w:tcW w:type="dxa" w:w="5783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New crewing and maintenance model raised utilisation from 71% to 86%.</w:t>
            </w:r>
          </w:p>
        </w:tc>
        <w:tc>
          <w:tcPr>
            <w:tcW w:type="dxa" w:w="1361"/>
            <w:tcBorders>
              <w:bottom w:val="single" w:sz="4" w:space="0" w:color="DFE0E1"/>
            </w:tcBorders>
            <w:vAlign w:val="top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/>
            </w:r>
          </w:p>
        </w:tc>
      </w:tr>
    </w:tbl>
    <w:p>
      <w:pPr>
        <w:keepNext/>
        <w:spacing w:before="24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Career summary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8051"/>
      </w:tblGrid>
      <w:tr>
        <w:trPr>
          <w:cantSplit/>
        </w:trPr>
        <w:tc>
          <w:tcPr>
            <w:tcW w:type="dxa" w:w="1701"/>
            <w:tcMar>
              <w:top w:w="40" w:type="dxa"/>
              <w:left w:w="0" w:type="dxa"/>
              <w:bottom w:w="40" w:type="dxa"/>
              <w:right w:w="14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2021 – present</w:t>
            </w:r>
          </w:p>
        </w:tc>
        <w:tc>
          <w:tcPr>
            <w:tcW w:type="dxa" w:w="8051"/>
            <w:tcMar>
              <w:top w:w="40" w:type="dxa"/>
              <w:left w:w="0" w:type="dxa"/>
              <w:bottom w:w="4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Chief Operating Officer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, Tolland Marine &amp; Energy</w:t>
            </w:r>
          </w:p>
        </w:tc>
      </w:tr>
      <w:tr>
        <w:trPr>
          <w:cantSplit/>
        </w:trPr>
        <w:tc>
          <w:tcPr>
            <w:tcW w:type="dxa" w:w="1701"/>
            <w:tcMar>
              <w:top w:w="40" w:type="dxa"/>
              <w:left w:w="0" w:type="dxa"/>
              <w:bottom w:w="40" w:type="dxa"/>
              <w:right w:w="14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2018 – 2021</w:t>
            </w:r>
          </w:p>
        </w:tc>
        <w:tc>
          <w:tcPr>
            <w:tcW w:type="dxa" w:w="8051"/>
            <w:tcMar>
              <w:top w:w="40" w:type="dxa"/>
              <w:left w:w="0" w:type="dxa"/>
              <w:bottom w:w="4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Fleet Director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, Tolland Marine &amp; Energy</w:t>
            </w:r>
          </w:p>
        </w:tc>
      </w:tr>
      <w:tr>
        <w:trPr>
          <w:cantSplit/>
        </w:trPr>
        <w:tc>
          <w:tcPr>
            <w:tcW w:type="dxa" w:w="1701"/>
            <w:tcMar>
              <w:top w:w="40" w:type="dxa"/>
              <w:left w:w="0" w:type="dxa"/>
              <w:bottom w:w="40" w:type="dxa"/>
              <w:right w:w="14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2013 – 2018</w:t>
            </w:r>
          </w:p>
        </w:tc>
        <w:tc>
          <w:tcPr>
            <w:tcW w:type="dxa" w:w="8051"/>
            <w:tcMar>
              <w:top w:w="40" w:type="dxa"/>
              <w:left w:w="0" w:type="dxa"/>
              <w:bottom w:w="4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Operations Director, West Africa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, Corran Offshore</w:t>
            </w:r>
          </w:p>
        </w:tc>
      </w:tr>
    </w:tbl>
    <w:p>
      <w:pPr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953"/>
        <w:gridCol w:w="340"/>
        <w:gridCol w:w="5459"/>
      </w:tblGrid>
      <w:tr>
        <w:tc>
          <w:tcPr>
            <w:tcW w:type="dxa" w:w="3953"/>
            <w:vAlign w:val="top"/>
          </w:tcPr>
          <w:p>
            <w:pPr>
              <w:keepNext/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Education and qualifications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MEng Marine Engineering, University of Southampton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Chartered Engineer (CEng), IMarEST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40"/>
          </w:tcPr>
          <w:p/>
        </w:tc>
        <w:tc>
          <w:tcPr>
            <w:tcW w:type="dxa" w:w="5459"/>
            <w:vAlign w:val="top"/>
          </w:tcPr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77" w:bottom="850" w:left="1077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Confidential: prepared for the client named in this report. Candidate details are shared with their consent.</w:t>
    </w:r>
  </w:p>
  <w:p>
    <w:pPr>
      <w:tabs>
        <w:tab w:pos="9752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752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Shortlist report  ·  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4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Relationship Id="rId12" Type="http://schemas.openxmlformats.org/officeDocument/2006/relationships/image" Target="media/image3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Shortlist Report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