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ook w:firstColumn="1" w:firstRow="1" w:lastColumn="0" w:lastRow="0" w:noHBand="0" w:noVBand="1" w:val="04A0"/>
        <w:tblW w:w="9638" w:type="dxa"/>
        <w:jc w:val="left"/>
        <w:tblInd w:w="420" w:type="dxa"/>
        <w:tblLayout w:type="fixed"/>
        <w:tblBorders>
          <w:top w:val="nil"/>
          <w:left w:val="nil"/>
          <w:bottom w:val="nil"/>
          <w:right w:val="nil"/>
          <w:insideH w:val="nil"/>
          <w:insideV w:val="nil"/>
        </w:tblBorders>
        <w:tblCellMar>
          <w:top w:w="0" w:type="dxa"/>
          <w:left w:w="0" w:type="dxa"/>
          <w:bottom w:w="0" w:type="dxa"/>
          <w:right w:w="0" w:type="dxa"/>
        </w:tblCellMar>
      </w:tblPr>
      <w:tblGrid>
        <w:gridCol w:w="9638"/>
      </w:tblGrid>
      <w:tr>
        <w:tc>
          <w:tcPr>
            <w:tcW w:type="dxa" w:w="9638"/>
            <w:shd w:val="clear" w:color="auto" w:fill="2E3338"/>
            <w:tcMar>
              <w:top w:w="380" w:type="dxa"/>
              <w:left w:w="420" w:type="dxa"/>
              <w:bottom w:w="400" w:type="dxa"/>
              <w:right w:w="420" w:type="dxa"/>
            </w:tcMar>
          </w:tcPr>
          <w:p>
            <w:pPr>
              <w:tabs>
                <w:tab w:pos="8798" w:val="right"/>
              </w:tabs>
              <w:spacing w:before="0" w:after="320"/>
            </w:pPr>
            <w:r>
              <w:rPr>
                <w:rFonts w:ascii="Calibri" w:hAnsi="Calibri" w:eastAsia="Calibri" w:cs="Calibri"/>
                <w:b/>
                <w:i w:val="0"/>
                <w:caps/>
                <w:color w:val="979FA7"/>
                <w:sz w:val="16"/>
                <w:spacing w:val="30"/>
              </w:rPr>
              <w:t>Position specification</w:t>
            </w:r>
            <w:r>
              <w:rPr>
                <w:rFonts w:ascii="Calibri" w:hAnsi="Calibri" w:eastAsia="Calibri" w:cs="Calibri"/>
                <w:b w:val="0"/>
                <w:i w:val="0"/>
                <w:sz w:val="16"/>
              </w:rPr>
              <w:tab/>
            </w:r>
            <w:r>
              <w:rPr>
                <w:rFonts w:ascii="Calibri" w:hAnsi="Calibri" w:eastAsia="Calibri" w:cs="Calibri"/>
                <w:b/>
                <w:i w:val="0"/>
                <w:color w:val="FFFFFF"/>
                <w:sz w:val="14"/>
                <w:spacing w:val="20"/>
                <w:shd w:val="clear" w:color="auto" w:fill="5F6B77"/>
              </w:rPr>
              <w:t xml:space="preserve"> CONFIDENTIAL </w:t>
            </w:r>
          </w:p>
          <w:p>
            <w:pPr>
              <w:spacing w:before="0" w:after="120"/>
            </w:pPr>
            <w:r>
              <w:rPr>
                <w:rFonts w:ascii="Cambria" w:hAnsi="Cambria" w:eastAsia="Cambria" w:cs="Cambria"/>
                <w:b w:val="0"/>
                <w:i w:val="0"/>
                <w:color w:val="FFFFFF"/>
                <w:sz w:val="54"/>
              </w:rPr>
              <w:t xml:space="preserve">Chief Financial Officer</w:t>
            </w:r>
          </w:p>
          <w:p>
            <w:pPr>
              <w:spacing w:before="0" w:after="40"/>
            </w:pPr>
            <w:r>
              <w:rPr>
                <w:rFonts w:ascii="Cambria" w:hAnsi="Cambria" w:eastAsia="Cambria" w:cs="Cambria"/>
                <w:b w:val="0"/>
                <w:i w:val="0"/>
                <w:color w:val="C4C6C7"/>
                <w:sz w:val="26"/>
              </w:rPr>
              <w:t xml:space="preserve">Hollins &amp; Marr Group plc</w:t>
            </w:r>
          </w:p>
          <w:p>
            <w:pPr>
              <w:spacing w:before="280" w:after="0"/>
              <w:pBdr>
                <w:top w:val="single" w:sz="6" w:space="8" w:color="62666A"/>
              </w:pBdr>
            </w:pPr>
            <w:r>
              <w:rPr>
                <w:rFonts w:ascii="Calibri" w:hAnsi="Calibri" w:eastAsia="Calibri" w:cs="Calibri"/>
                <w:b w:val="0"/>
                <w:i w:val="0"/>
                <w:color w:val="FFFFFF"/>
                <w:sz w:val="19"/>
              </w:rPr>
              <w:t xml:space="preserve">Manchester, UK (hybrid)   ·   25 September 2026   ·   Search reference HMG-2026-031</w:t>
            </w:r>
          </w:p>
        </w:tc>
      </w:tr>
    </w:tbl>
    <w:p>
      <w:pPr>
        <w:keepNext/>
        <w:spacing w:before="400" w:after="140"/>
        <w:pBdr>
          <w:bottom w:val="single" w:sz="6" w:space="4" w:color="DFE0E1"/>
        </w:pBdr>
      </w:pPr>
      <w:r>
        <w:rPr>
          <w:rFonts w:ascii="Cambria" w:hAnsi="Cambria" w:eastAsia="Cambria" w:cs="Cambria"/>
          <w:b w:val="0"/>
          <w:i w:val="0"/>
          <w:color w:val="2E3338"/>
          <w:sz w:val="30"/>
        </w:rPr>
        <w:t>The organisation</w:t>
      </w:r>
    </w:p>
    <w:tbl>
      <w:tblPr>
        <w:tblLook w:firstColumn="1" w:firstRow="1" w:lastColumn="0" w:lastRow="0" w:noHBand="0" w:noVBand="1" w:val="04A0"/>
        <w:tblW w:w="963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6123"/>
        <w:gridCol w:w="340"/>
        <w:gridCol w:w="3175"/>
      </w:tblGrid>
      <w:tr>
        <w:tc>
          <w:tcPr>
            <w:tcW w:type="dxa" w:w="6123"/>
            <w:vAlign w:val="top"/>
          </w:tcPr>
          <w:p>
            <w:pPr>
              <w:spacing w:before="0" w:after="140"/>
              <w:jc w:val="both"/>
            </w:pPr>
            <w:r>
              <w:rPr>
                <w:rFonts w:ascii="Calibri" w:hAnsi="Calibri" w:eastAsia="Calibri" w:cs="Calibri"/>
                <w:b w:val="0"/>
                <w:i w:val="0"/>
              </w:rPr>
              <w:t xml:space="preserve">Hollins &amp; Marr Group plc is a UK-listed manufacturer of building products, supplying insulation, roofing and drainage systems to housebuilders, contractors and merchants across the UK &amp; Ireland and northern Europe. Founded in Lancashire in 1962, the group today operates eleven manufacturing sites and a national distribution network.</w:t>
            </w:r>
          </w:p>
          <w:p>
            <w:pPr>
              <w:spacing w:before="0" w:after="140"/>
              <w:jc w:val="both"/>
            </w:pPr>
            <w:r>
              <w:rPr>
                <w:rFonts w:ascii="Calibri" w:hAnsi="Calibri" w:eastAsia="Calibri" w:cs="Calibri"/>
                <w:b w:val="0"/>
                <w:i w:val="0"/>
              </w:rPr>
              <w:t xml:space="preserve">Over the last five years the group has grown revenue by more than 60%, helped by three bolt-on acquisitions and a strong position in low-carbon materials. Its strategy to 2030 is to double the share of revenue from products that improve the energy performance of buildings, while simplifying a portfolio that grew through M&amp;A.</w:t>
            </w:r>
          </w:p>
          <w:p>
            <w:pPr>
              <w:spacing w:before="0" w:after="0" w:line="2" w:lineRule="exact"/>
            </w:pPr>
            <w:r>
              <w:rPr>
                <w:rFonts w:ascii="Calibri" w:hAnsi="Calibri" w:eastAsia="Calibri" w:cs="Calibri"/>
                <w:b w:val="0"/>
                <w:i w:val="0"/>
                <w:sz w:val="2"/>
              </w:rPr>
            </w:r>
          </w:p>
        </w:tc>
        <w:tc>
          <w:tcPr>
            <w:tcW w:type="dxa" w:w="340"/>
          </w:tcPr>
          <w:p/>
        </w:tc>
        <w:tc>
          <w:tcPr>
            <w:tcW w:type="dxa" w:w="3175"/>
            <w:vAlign w:val="top"/>
            <w:shd w:val="clear" w:color="auto" w:fill="F1F2F3"/>
            <w:tcMar>
              <w:top w:w="160" w:type="dxa"/>
              <w:left w:w="220" w:type="dxa"/>
              <w:bottom w:w="200" w:type="dxa"/>
              <w:right w:w="220" w:type="dxa"/>
            </w:tcMar>
          </w:tcPr>
          <w:p>
            <w:pPr>
              <w:spacing w:before="0" w:after="40"/>
            </w:pPr>
            <w:r>
              <w:rPr>
                <w:rFonts w:ascii="Calibri" w:hAnsi="Calibri" w:eastAsia="Calibri" w:cs="Calibri"/>
                <w:b/>
                <w:i w:val="0"/>
                <w:caps/>
                <w:color w:val="5F6B77"/>
                <w:sz w:val="15"/>
                <w:spacing w:val="30"/>
              </w:rPr>
              <w:t>Key facts</w:t>
            </w:r>
          </w:p>
          <w:p>
            <w:pPr>
              <w:keepNext/>
              <w:spacing w:before="120" w:after="0"/>
            </w:pPr>
            <w:r>
              <w:rPr>
                <w:rFonts w:ascii="Calibri" w:hAnsi="Calibri" w:eastAsia="Calibri" w:cs="Calibri"/>
                <w:b w:val="0"/>
                <w:i w:val="0"/>
                <w:color w:val="6B6D70"/>
                <w:sz w:val="16"/>
              </w:rPr>
              <w:t xml:space="preserve">Sector</w:t>
            </w:r>
          </w:p>
          <w:p>
            <w:pPr>
              <w:spacing w:before="0" w:after="0"/>
            </w:pPr>
            <w:r>
              <w:rPr>
                <w:rFonts w:ascii="Calibri" w:hAnsi="Calibri" w:eastAsia="Calibri" w:cs="Calibri"/>
                <w:b/>
                <w:i w:val="0"/>
                <w:color w:val="2E3338"/>
                <w:sz w:val="19"/>
              </w:rPr>
              <w:t xml:space="preserve">Building products &amp; materials</w:t>
            </w:r>
          </w:p>
          <w:p>
            <w:pPr>
              <w:keepNext/>
              <w:spacing w:before="120" w:after="0"/>
            </w:pPr>
            <w:r>
              <w:rPr>
                <w:rFonts w:ascii="Calibri" w:hAnsi="Calibri" w:eastAsia="Calibri" w:cs="Calibri"/>
                <w:b w:val="0"/>
                <w:i w:val="0"/>
                <w:color w:val="6B6D70"/>
                <w:sz w:val="16"/>
              </w:rPr>
              <w:t xml:space="preserve">Ownership</w:t>
            </w:r>
          </w:p>
          <w:p>
            <w:pPr>
              <w:spacing w:before="0" w:after="0"/>
            </w:pPr>
            <w:r>
              <w:rPr>
                <w:rFonts w:ascii="Calibri" w:hAnsi="Calibri" w:eastAsia="Calibri" w:cs="Calibri"/>
                <w:b/>
                <w:i w:val="0"/>
                <w:color w:val="2E3338"/>
                <w:sz w:val="19"/>
              </w:rPr>
              <w:t xml:space="preserve">Listed on the London Stock Exchange (FTSE SmallCap)</w:t>
            </w:r>
          </w:p>
          <w:p>
            <w:pPr>
              <w:keepNext/>
              <w:spacing w:before="120" w:after="0"/>
            </w:pPr>
            <w:r>
              <w:rPr>
                <w:rFonts w:ascii="Calibri" w:hAnsi="Calibri" w:eastAsia="Calibri" w:cs="Calibri"/>
                <w:b w:val="0"/>
                <w:i w:val="0"/>
                <w:color w:val="6B6D70"/>
                <w:sz w:val="16"/>
              </w:rPr>
              <w:t xml:space="preserve">Revenue</w:t>
            </w:r>
          </w:p>
          <w:p>
            <w:pPr>
              <w:spacing w:before="0" w:after="0"/>
            </w:pPr>
            <w:r>
              <w:rPr>
                <w:rFonts w:ascii="Calibri" w:hAnsi="Calibri" w:eastAsia="Calibri" w:cs="Calibri"/>
                <w:b/>
                <w:i w:val="0"/>
                <w:color w:val="2E3338"/>
                <w:sz w:val="19"/>
              </w:rPr>
              <w:t xml:space="preserve">£720m (2025)</w:t>
            </w:r>
          </w:p>
          <w:p>
            <w:pPr>
              <w:keepNext/>
              <w:spacing w:before="120" w:after="0"/>
            </w:pPr>
            <w:r>
              <w:rPr>
                <w:rFonts w:ascii="Calibri" w:hAnsi="Calibri" w:eastAsia="Calibri" w:cs="Calibri"/>
                <w:b w:val="0"/>
                <w:i w:val="0"/>
                <w:color w:val="6B6D70"/>
                <w:sz w:val="16"/>
              </w:rPr>
              <w:t xml:space="preserve">Employees</w:t>
            </w:r>
          </w:p>
          <w:p>
            <w:pPr>
              <w:spacing w:before="0" w:after="0"/>
            </w:pPr>
            <w:r>
              <w:rPr>
                <w:rFonts w:ascii="Calibri" w:hAnsi="Calibri" w:eastAsia="Calibri" w:cs="Calibri"/>
                <w:b/>
                <w:i w:val="0"/>
                <w:color w:val="2E3338"/>
                <w:sz w:val="19"/>
              </w:rPr>
              <w:t xml:space="preserve">2,400 across 11 sites</w:t>
            </w:r>
          </w:p>
          <w:p>
            <w:pPr>
              <w:keepNext/>
              <w:spacing w:before="120" w:after="0"/>
            </w:pPr>
            <w:r>
              <w:rPr>
                <w:rFonts w:ascii="Calibri" w:hAnsi="Calibri" w:eastAsia="Calibri" w:cs="Calibri"/>
                <w:b w:val="0"/>
                <w:i w:val="0"/>
                <w:color w:val="6B6D70"/>
                <w:sz w:val="16"/>
              </w:rPr>
              <w:t xml:space="preserve">Headquarters</w:t>
            </w:r>
          </w:p>
          <w:p>
            <w:pPr>
              <w:spacing w:before="0" w:after="0"/>
            </w:pPr>
            <w:r>
              <w:rPr>
                <w:rFonts w:ascii="Calibri" w:hAnsi="Calibri" w:eastAsia="Calibri" w:cs="Calibri"/>
                <w:b/>
                <w:i w:val="0"/>
                <w:color w:val="2E3338"/>
                <w:sz w:val="19"/>
              </w:rPr>
              <w:t xml:space="preserve">Manchester, UK</w:t>
            </w:r>
          </w:p>
          <w:p>
            <w:pPr>
              <w:keepNext/>
              <w:spacing w:before="120" w:after="0"/>
            </w:pPr>
            <w:r>
              <w:rPr>
                <w:rFonts w:ascii="Calibri" w:hAnsi="Calibri" w:eastAsia="Calibri" w:cs="Calibri"/>
                <w:b w:val="0"/>
                <w:i w:val="0"/>
                <w:color w:val="6B6D70"/>
                <w:sz w:val="16"/>
              </w:rPr>
              <w:t xml:space="preserve">Website</w:t>
            </w:r>
          </w:p>
          <w:p>
            <w:pPr>
              <w:spacing w:before="0" w:after="0"/>
            </w:pPr>
            <w:r>
              <w:rPr>
                <w:rFonts w:ascii="Calibri" w:hAnsi="Calibri" w:eastAsia="Calibri" w:cs="Calibri"/>
                <w:b/>
                <w:i w:val="0"/>
                <w:color w:val="2E3338"/>
                <w:sz w:val="19"/>
              </w:rPr>
              <w:t xml:space="preserve">hollinsmarr.example.com</w:t>
            </w:r>
          </w:p>
        </w:tc>
      </w:tr>
    </w:tbl>
    <w:p>
      <w:pPr>
        <w:keepNext/>
        <w:spacing w:before="360" w:after="140"/>
        <w:pBdr>
          <w:bottom w:val="single" w:sz="6" w:space="4" w:color="DFE0E1"/>
        </w:pBdr>
      </w:pPr>
      <w:r>
        <w:rPr>
          <w:rFonts w:ascii="Cambria" w:hAnsi="Cambria" w:eastAsia="Cambria" w:cs="Cambria"/>
          <w:b w:val="0"/>
          <w:i w:val="0"/>
          <w:color w:val="2E3338"/>
          <w:sz w:val="30"/>
        </w:rPr>
        <w:t>The opportunity</w:t>
      </w:r>
    </w:p>
    <w:p>
      <w:pPr>
        <w:spacing w:before="0" w:after="140"/>
        <w:jc w:val="both"/>
      </w:pPr>
      <w:r>
        <w:rPr>
          <w:rFonts w:ascii="Calibri" w:hAnsi="Calibri" w:eastAsia="Calibri" w:cs="Calibri"/>
          <w:b w:val="0"/>
          <w:i w:val="0"/>
        </w:rPr>
        <w:t xml:space="preserve">The current Chief Financial Officer will retire in spring 2027 after nine years with the group. The Board is using the transition to appoint a CFO who can lead the next phase of the strategy: integrating recent acquisitions, funding a £95m capital programme in low-carbon manufacturing and strengthening the group's standing with investors.</w:t>
      </w:r>
    </w:p>
    <w:p>
      <w:pPr>
        <w:spacing w:before="0" w:after="140"/>
        <w:jc w:val="both"/>
      </w:pPr>
      <w:r>
        <w:rPr>
          <w:rFonts w:ascii="Calibri" w:hAnsi="Calibri" w:eastAsia="Calibri" w:cs="Calibri"/>
          <w:b w:val="0"/>
          <w:i w:val="0"/>
        </w:rPr>
        <w:t xml:space="preserve">This is a rare opportunity to join a well-run, cash-generative business at a point of change, with a Chief Executive and Chair who want a genuine partner in shaping the portfolio, capital allocation and the equity story.</w:t>
      </w:r>
    </w:p>
    <w:p>
      <w:pPr>
        <w:keepNext/>
        <w:spacing w:before="360" w:after="140"/>
        <w:pBdr>
          <w:bottom w:val="single" w:sz="6" w:space="4" w:color="DFE0E1"/>
        </w:pBdr>
      </w:pPr>
      <w:r>
        <w:rPr>
          <w:rFonts w:ascii="Cambria" w:hAnsi="Cambria" w:eastAsia="Cambria" w:cs="Cambria"/>
          <w:b w:val="0"/>
          <w:i w:val="0"/>
          <w:color w:val="2E3338"/>
          <w:sz w:val="30"/>
        </w:rPr>
        <w:t>The role</w:t>
      </w:r>
    </w:p>
    <w:p>
      <w:pPr>
        <w:spacing w:before="0" w:after="160"/>
        <w:jc w:val="both"/>
      </w:pPr>
      <w:r>
        <w:rPr>
          <w:rFonts w:ascii="Calibri" w:hAnsi="Calibri" w:eastAsia="Calibri" w:cs="Calibri"/>
          <w:b w:val="0"/>
          <w:i w:val="0"/>
        </w:rPr>
        <w:t xml:space="preserve">The Chief Financial Officer leads the group's finance, treasury, tax, investor relations and IT functions, and is a member of the Board and the Executive Committee.</w:t>
      </w:r>
    </w:p>
    <w:tbl>
      <w:tblPr>
        <w:tblLook w:firstColumn="1" w:firstRow="1" w:lastColumn="0" w:lastRow="0" w:noHBand="0" w:noVBand="1" w:val="04A0"/>
        <w:tblW w:w="963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7144"/>
      </w:tblGrid>
      <w:tr>
        <w:trPr>
          <w:cantSplit/>
        </w:trPr>
        <w:tc>
          <w:tcPr>
            <w:tcW w:type="dxa" w:w="2494"/>
            <w:tcMar>
              <w:top w:w="70" w:type="dxa"/>
              <w:left w:w="0" w:type="dxa"/>
              <w:bottom w:w="70" w:type="dxa"/>
              <w:right w:w="160" w:type="dxa"/>
            </w:tcMar>
            <w:tcBorders>
              <w:bottom w:val="single" w:sz="4" w:space="0" w:color="DFE0E1"/>
            </w:tcBorders>
          </w:tcPr>
          <w:p>
            <w:r>
              <w:rPr>
                <w:rFonts w:ascii="Calibri" w:hAnsi="Calibri" w:eastAsia="Calibri" w:cs="Calibri"/>
                <w:b/>
                <w:i w:val="0"/>
                <w:color w:val="5F6B77"/>
                <w:sz w:val="18"/>
              </w:rPr>
              <w:t xml:space="preserve">Reports to</w:t>
            </w:r>
          </w:p>
        </w:tc>
        <w:tc>
          <w:tcPr>
            <w:tcW w:type="dxa" w:w="7144"/>
            <w:tcMar>
              <w:top w:w="70" w:type="dxa"/>
              <w:left w:w="0" w:type="dxa"/>
              <w:bottom w:w="70" w:type="dxa"/>
              <w:right w:w="0" w:type="dxa"/>
            </w:tcMar>
            <w:tcBorders>
              <w:bottom w:val="single" w:sz="4" w:space="0" w:color="DFE0E1"/>
            </w:tcBorders>
          </w:tcPr>
          <w:p>
            <w:r>
              <w:rPr>
                <w:rFonts w:ascii="Calibri" w:hAnsi="Calibri" w:eastAsia="Calibri" w:cs="Calibri"/>
                <w:b w:val="0"/>
                <w:i w:val="0"/>
                <w:color w:val="1F2226"/>
                <w:sz w:val="20"/>
              </w:rPr>
              <w:t xml:space="preserve">Chief Executive Officer; member of the plc Board</w:t>
            </w:r>
          </w:p>
        </w:tc>
      </w:tr>
      <w:tr>
        <w:trPr>
          <w:cantSplit/>
        </w:trPr>
        <w:tc>
          <w:tcPr>
            <w:tcW w:type="dxa" w:w="2494"/>
            <w:tcMar>
              <w:top w:w="70" w:type="dxa"/>
              <w:left w:w="0" w:type="dxa"/>
              <w:bottom w:w="70" w:type="dxa"/>
              <w:right w:w="160" w:type="dxa"/>
            </w:tcMar>
            <w:tcBorders>
              <w:bottom w:val="single" w:sz="4" w:space="0" w:color="DFE0E1"/>
            </w:tcBorders>
          </w:tcPr>
          <w:p>
            <w:r>
              <w:rPr>
                <w:rFonts w:ascii="Calibri" w:hAnsi="Calibri" w:eastAsia="Calibri" w:cs="Calibri"/>
                <w:b/>
                <w:i w:val="0"/>
                <w:color w:val="5F6B77"/>
                <w:sz w:val="18"/>
              </w:rPr>
              <w:t xml:space="preserve">Direct reports</w:t>
            </w:r>
          </w:p>
        </w:tc>
        <w:tc>
          <w:tcPr>
            <w:tcW w:type="dxa" w:w="7144"/>
            <w:tcMar>
              <w:top w:w="70" w:type="dxa"/>
              <w:left w:w="0" w:type="dxa"/>
              <w:bottom w:w="70" w:type="dxa"/>
              <w:right w:w="0" w:type="dxa"/>
            </w:tcMar>
            <w:tcBorders>
              <w:bottom w:val="single" w:sz="4" w:space="0" w:color="DFE0E1"/>
            </w:tcBorders>
          </w:tcPr>
          <w:p>
            <w:r>
              <w:rPr>
                <w:rFonts w:ascii="Calibri" w:hAnsi="Calibri" w:eastAsia="Calibri" w:cs="Calibri"/>
                <w:b w:val="0"/>
                <w:i w:val="0"/>
                <w:color w:val="1F2226"/>
                <w:sz w:val="20"/>
              </w:rPr>
              <w:t xml:space="preserve">Group Financial Controller, Head of FP&amp;A, Head of Tax &amp; Treasury, Head of IT, Head of Investor Relations</w:t>
            </w:r>
          </w:p>
        </w:tc>
      </w:tr>
      <w:tr>
        <w:trPr>
          <w:cantSplit/>
        </w:trPr>
        <w:tc>
          <w:tcPr>
            <w:tcW w:type="dxa" w:w="2494"/>
            <w:tcMar>
              <w:top w:w="70" w:type="dxa"/>
              <w:left w:w="0" w:type="dxa"/>
              <w:bottom w:w="70" w:type="dxa"/>
              <w:right w:w="160" w:type="dxa"/>
            </w:tcMar>
            <w:tcBorders>
              <w:bottom w:val="single" w:sz="4" w:space="0" w:color="DFE0E1"/>
            </w:tcBorders>
          </w:tcPr>
          <w:p>
            <w:r>
              <w:rPr>
                <w:rFonts w:ascii="Calibri" w:hAnsi="Calibri" w:eastAsia="Calibri" w:cs="Calibri"/>
                <w:b/>
                <w:i w:val="0"/>
                <w:color w:val="5F6B77"/>
                <w:sz w:val="18"/>
              </w:rPr>
              <w:t xml:space="preserve">Key relationships</w:t>
            </w:r>
          </w:p>
        </w:tc>
        <w:tc>
          <w:tcPr>
            <w:tcW w:type="dxa" w:w="7144"/>
            <w:tcMar>
              <w:top w:w="70" w:type="dxa"/>
              <w:left w:w="0" w:type="dxa"/>
              <w:bottom w:w="70" w:type="dxa"/>
              <w:right w:w="0" w:type="dxa"/>
            </w:tcMar>
            <w:tcBorders>
              <w:bottom w:val="single" w:sz="4" w:space="0" w:color="DFE0E1"/>
            </w:tcBorders>
          </w:tcPr>
          <w:p>
            <w:r>
              <w:rPr>
                <w:rFonts w:ascii="Calibri" w:hAnsi="Calibri" w:eastAsia="Calibri" w:cs="Calibri"/>
                <w:b w:val="0"/>
                <w:i w:val="0"/>
                <w:color w:val="1F2226"/>
                <w:sz w:val="20"/>
              </w:rPr>
              <w:t xml:space="preserve">Chair and Audit Committee, divisional managing directors, external auditors, lenders, analysts and institutional shareholders</w:t>
            </w:r>
          </w:p>
        </w:tc>
      </w:tr>
      <w:tr>
        <w:trPr>
          <w:cantSplit/>
        </w:trPr>
        <w:tc>
          <w:tcPr>
            <w:tcW w:type="dxa" w:w="2494"/>
            <w:tcMar>
              <w:top w:w="70" w:type="dxa"/>
              <w:left w:w="0" w:type="dxa"/>
              <w:bottom w:w="70" w:type="dxa"/>
              <w:right w:w="160" w:type="dxa"/>
            </w:tcMar>
            <w:tcBorders>
              <w:bottom w:val="single" w:sz="4" w:space="0" w:color="DFE0E1"/>
            </w:tcBorders>
          </w:tcPr>
          <w:p>
            <w:r>
              <w:rPr>
                <w:rFonts w:ascii="Calibri" w:hAnsi="Calibri" w:eastAsia="Calibri" w:cs="Calibri"/>
                <w:b/>
                <w:i w:val="0"/>
                <w:color w:val="5F6B77"/>
                <w:sz w:val="18"/>
              </w:rPr>
              <w:t xml:space="preserve">Scope</w:t>
            </w:r>
          </w:p>
        </w:tc>
        <w:tc>
          <w:tcPr>
            <w:tcW w:type="dxa" w:w="7144"/>
            <w:tcMar>
              <w:top w:w="70" w:type="dxa"/>
              <w:left w:w="0" w:type="dxa"/>
              <w:bottom w:w="70" w:type="dxa"/>
              <w:right w:w="0" w:type="dxa"/>
            </w:tcMar>
            <w:tcBorders>
              <w:bottom w:val="single" w:sz="4" w:space="0" w:color="DFE0E1"/>
            </w:tcBorders>
          </w:tcPr>
          <w:p>
            <w:r>
              <w:rPr>
                <w:rFonts w:ascii="Calibri" w:hAnsi="Calibri" w:eastAsia="Calibri" w:cs="Calibri"/>
                <w:b w:val="0"/>
                <w:i w:val="0"/>
                <w:color w:val="1F2226"/>
                <w:sz w:val="20"/>
              </w:rPr>
              <w:t xml:space="preserve">Finance and IT teams of 140 people; £720m revenue; operations in the UK &amp; Ireland, the Netherlands and Poland</w:t>
            </w:r>
          </w:p>
        </w:tc>
      </w:tr>
      <w:tr>
        <w:trPr>
          <w:cantSplit/>
        </w:trPr>
        <w:tc>
          <w:tcPr>
            <w:tcW w:type="dxa" w:w="2494"/>
            <w:tcMar>
              <w:top w:w="70" w:type="dxa"/>
              <w:left w:w="0" w:type="dxa"/>
              <w:bottom w:w="70" w:type="dxa"/>
              <w:right w:w="160" w:type="dxa"/>
            </w:tcMar>
            <w:tcBorders>
              <w:bottom w:val="single" w:sz="4" w:space="0" w:color="DFE0E1"/>
            </w:tcBorders>
          </w:tcPr>
          <w:p>
            <w:r>
              <w:rPr>
                <w:rFonts w:ascii="Calibri" w:hAnsi="Calibri" w:eastAsia="Calibri" w:cs="Calibri"/>
                <w:b/>
                <w:i w:val="0"/>
                <w:color w:val="5F6B77"/>
                <w:sz w:val="18"/>
              </w:rPr>
              <w:t xml:space="preserve">Location</w:t>
            </w:r>
          </w:p>
        </w:tc>
        <w:tc>
          <w:tcPr>
            <w:tcW w:type="dxa" w:w="7144"/>
            <w:tcMar>
              <w:top w:w="70" w:type="dxa"/>
              <w:left w:w="0" w:type="dxa"/>
              <w:bottom w:w="70" w:type="dxa"/>
              <w:right w:w="0" w:type="dxa"/>
            </w:tcMar>
            <w:tcBorders>
              <w:bottom w:val="single" w:sz="4" w:space="0" w:color="DFE0E1"/>
            </w:tcBorders>
          </w:tcPr>
          <w:p>
            <w:r>
              <w:rPr>
                <w:rFonts w:ascii="Calibri" w:hAnsi="Calibri" w:eastAsia="Calibri" w:cs="Calibri"/>
                <w:b w:val="0"/>
                <w:i w:val="0"/>
                <w:color w:val="1F2226"/>
                <w:sz w:val="20"/>
              </w:rPr>
              <w:t xml:space="preserve">Manchester head office, three days a week, with regular travel to sites</w:t>
            </w:r>
          </w:p>
        </w:tc>
      </w:tr>
    </w:tbl>
    <w:p>
      <w:pPr>
        <w:keepNext/>
        <w:spacing w:before="280" w:after="80"/>
      </w:pPr>
      <w:r>
        <w:rPr>
          <w:rFonts w:ascii="Cambria" w:hAnsi="Cambria" w:eastAsia="Cambria" w:cs="Cambria"/>
          <w:b w:val="0"/>
          <w:i w:val="0"/>
          <w:color w:val="5F6B77"/>
          <w:sz w:val="23"/>
        </w:rPr>
        <w:t>Key responsibilities</w:t>
      </w:r>
    </w:p>
    <w:p>
      <w:pPr>
        <w:pStyle w:val="ListBullet"/>
        <w:spacing w:before="0" w:after="60"/>
        <w:ind w:left="312" w:hanging="227"/>
      </w:pPr>
      <w:r>
        <w:rPr>
          <w:rFonts w:ascii="Calibri" w:hAnsi="Calibri" w:eastAsia="Calibri" w:cs="Calibri"/>
          <w:b w:val="0"/>
          <w:i w:val="0"/>
          <w:sz w:val="20"/>
        </w:rPr>
        <w:t xml:space="preserve">Partner the Chief Executive and Board in setting strategy, capital allocation and the portfolio choices behind the 2030 plan.</w:t>
      </w:r>
    </w:p>
    <w:p>
      <w:pPr>
        <w:pStyle w:val="ListBullet"/>
        <w:spacing w:before="0" w:after="60"/>
        <w:ind w:left="312" w:hanging="227"/>
      </w:pPr>
      <w:r>
        <w:rPr>
          <w:rFonts w:ascii="Calibri" w:hAnsi="Calibri" w:eastAsia="Calibri" w:cs="Calibri"/>
          <w:b w:val="0"/>
          <w:i w:val="0"/>
          <w:sz w:val="20"/>
        </w:rPr>
        <w:t xml:space="preserve">Lead the integration of recent acquisitions, including a single finance operating model and ERP platform across the group.</w:t>
      </w:r>
    </w:p>
    <w:p>
      <w:pPr>
        <w:pStyle w:val="ListBullet"/>
        <w:spacing w:before="0" w:after="60"/>
        <w:ind w:left="312" w:hanging="227"/>
      </w:pPr>
      <w:r>
        <w:rPr>
          <w:rFonts w:ascii="Calibri" w:hAnsi="Calibri" w:eastAsia="Calibri" w:cs="Calibri"/>
          <w:b w:val="0"/>
          <w:i w:val="0"/>
          <w:sz w:val="20"/>
        </w:rPr>
        <w:t xml:space="preserve">Own the funding and returns case for the £95m low-carbon capital programme and report progress to the Board.</w:t>
      </w:r>
    </w:p>
    <w:p>
      <w:pPr>
        <w:pStyle w:val="ListBullet"/>
        <w:spacing w:before="0" w:after="60"/>
        <w:ind w:left="312" w:hanging="227"/>
      </w:pPr>
      <w:r>
        <w:rPr>
          <w:rFonts w:ascii="Calibri" w:hAnsi="Calibri" w:eastAsia="Calibri" w:cs="Calibri"/>
          <w:b w:val="0"/>
          <w:i w:val="0"/>
          <w:sz w:val="20"/>
        </w:rPr>
        <w:t xml:space="preserve">Lead investor relations with the Chief Executive, building confidence in the equity story with existing and new shareholders.</w:t>
      </w:r>
    </w:p>
    <w:p>
      <w:pPr>
        <w:pStyle w:val="ListBullet"/>
        <w:spacing w:before="0" w:after="60"/>
        <w:ind w:left="312" w:hanging="227"/>
      </w:pPr>
      <w:r>
        <w:rPr>
          <w:rFonts w:ascii="Calibri" w:hAnsi="Calibri" w:eastAsia="Calibri" w:cs="Calibri"/>
          <w:b w:val="0"/>
          <w:i w:val="0"/>
          <w:sz w:val="20"/>
        </w:rPr>
        <w:t xml:space="preserve">Maintain strong financial control, risk management and reporting that meet the standards expected of a listed company.</w:t>
      </w:r>
    </w:p>
    <w:p>
      <w:pPr>
        <w:pStyle w:val="ListBullet"/>
        <w:spacing w:before="0" w:after="60"/>
        <w:ind w:left="312" w:hanging="227"/>
      </w:pPr>
      <w:r>
        <w:rPr>
          <w:rFonts w:ascii="Calibri" w:hAnsi="Calibri" w:eastAsia="Calibri" w:cs="Calibri"/>
          <w:b w:val="0"/>
          <w:i w:val="0"/>
          <w:sz w:val="20"/>
        </w:rPr>
        <w:t xml:space="preserve">Oversee treasury, tax and banking relationships, keeping the balance sheet efficient and the group well funded.</w:t>
      </w:r>
    </w:p>
    <w:p>
      <w:pPr>
        <w:pStyle w:val="ListBullet"/>
        <w:spacing w:before="0" w:after="60"/>
        <w:ind w:left="312" w:hanging="227"/>
      </w:pPr>
      <w:r>
        <w:rPr>
          <w:rFonts w:ascii="Calibri" w:hAnsi="Calibri" w:eastAsia="Calibri" w:cs="Calibri"/>
          <w:b w:val="0"/>
          <w:i w:val="0"/>
          <w:sz w:val="20"/>
        </w:rPr>
        <w:t xml:space="preserve">Develop a high-performing finance and IT team, with clear succession for the senior roles.</w:t>
      </w:r>
    </w:p>
    <w:p>
      <w:pPr>
        <w:keepNext/>
        <w:spacing w:before="360" w:after="140"/>
        <w:pBdr>
          <w:bottom w:val="single" w:sz="6" w:space="4" w:color="DFE0E1"/>
        </w:pBdr>
      </w:pPr>
      <w:r>
        <w:rPr>
          <w:rFonts w:ascii="Cambria" w:hAnsi="Cambria" w:eastAsia="Cambria" w:cs="Cambria"/>
          <w:b w:val="0"/>
          <w:i w:val="0"/>
          <w:color w:val="2E3338"/>
          <w:sz w:val="30"/>
        </w:rPr>
        <w:t>The person</w:t>
      </w:r>
    </w:p>
    <w:p>
      <w:pPr>
        <w:spacing w:before="0" w:after="80"/>
        <w:jc w:val="both"/>
      </w:pPr>
      <w:r>
        <w:rPr>
          <w:rFonts w:ascii="Calibri" w:hAnsi="Calibri" w:eastAsia="Calibri" w:cs="Calibri"/>
          <w:b w:val="0"/>
          <w:i w:val="0"/>
        </w:rPr>
        <w:t xml:space="preserve">The Board is looking for a qualified accountant with listed-company experience who combines commercial judgement with the credibility to lead change in a manufacturing business.</w:t>
      </w:r>
    </w:p>
    <w:p>
      <w:pPr>
        <w:keepNext/>
        <w:spacing w:before="200" w:after="80"/>
      </w:pPr>
      <w:r>
        <w:rPr>
          <w:rFonts w:ascii="Cambria" w:hAnsi="Cambria" w:eastAsia="Cambria" w:cs="Cambria"/>
          <w:b w:val="0"/>
          <w:i w:val="0"/>
          <w:color w:val="5F6B77"/>
          <w:sz w:val="23"/>
        </w:rPr>
        <w:t>Experience and qualifications</w:t>
      </w:r>
    </w:p>
    <w:p>
      <w:pPr>
        <w:pStyle w:val="ListBullet"/>
        <w:spacing w:before="0" w:after="60"/>
        <w:ind w:left="312" w:hanging="227"/>
      </w:pPr>
      <w:r>
        <w:rPr>
          <w:rFonts w:ascii="Calibri" w:hAnsi="Calibri" w:eastAsia="Calibri" w:cs="Calibri"/>
          <w:b w:val="0"/>
          <w:i w:val="0"/>
          <w:sz w:val="20"/>
        </w:rPr>
        <w:t xml:space="preserve">A qualified accountant (ACA, ACCA or CIMA) with a strong technical grounding.</w:t>
      </w:r>
    </w:p>
    <w:p>
      <w:pPr>
        <w:pStyle w:val="ListBullet"/>
        <w:spacing w:before="0" w:after="60"/>
        <w:ind w:left="312" w:hanging="227"/>
      </w:pPr>
      <w:r>
        <w:rPr>
          <w:rFonts w:ascii="Calibri" w:hAnsi="Calibri" w:eastAsia="Calibri" w:cs="Calibri"/>
          <w:b w:val="0"/>
          <w:i w:val="0"/>
          <w:sz w:val="20"/>
        </w:rPr>
        <w:t xml:space="preserve">Experience as a CFO or deputy CFO of a listed company, or as a divisional finance director in a larger group.</w:t>
      </w:r>
    </w:p>
    <w:p>
      <w:pPr>
        <w:pStyle w:val="ListBullet"/>
        <w:spacing w:before="0" w:after="60"/>
        <w:ind w:left="312" w:hanging="227"/>
      </w:pPr>
      <w:r>
        <w:rPr>
          <w:rFonts w:ascii="Calibri" w:hAnsi="Calibri" w:eastAsia="Calibri" w:cs="Calibri"/>
          <w:b w:val="0"/>
          <w:i w:val="0"/>
          <w:sz w:val="20"/>
        </w:rPr>
        <w:t xml:space="preserve">A track record in manufacturing, industrial or construction-related businesses with multi-site operations.</w:t>
      </w:r>
    </w:p>
    <w:p>
      <w:pPr>
        <w:pStyle w:val="ListBullet"/>
        <w:spacing w:before="0" w:after="60"/>
        <w:ind w:left="312" w:hanging="227"/>
      </w:pPr>
      <w:r>
        <w:rPr>
          <w:rFonts w:ascii="Calibri" w:hAnsi="Calibri" w:eastAsia="Calibri" w:cs="Calibri"/>
          <w:b w:val="0"/>
          <w:i w:val="0"/>
          <w:sz w:val="20"/>
        </w:rPr>
        <w:t xml:space="preserve">Experience of M&amp;A and post-deal integration, including finance systems consolidation.</w:t>
      </w:r>
    </w:p>
    <w:p>
      <w:pPr>
        <w:pStyle w:val="ListBullet"/>
        <w:spacing w:before="0" w:after="60"/>
        <w:ind w:left="312" w:hanging="227"/>
      </w:pPr>
      <w:r>
        <w:rPr>
          <w:rFonts w:ascii="Calibri" w:hAnsi="Calibri" w:eastAsia="Calibri" w:cs="Calibri"/>
          <w:b w:val="0"/>
          <w:i w:val="0"/>
          <w:sz w:val="20"/>
        </w:rPr>
        <w:t xml:space="preserve">Exposure to investor relations and working with a plc Board and Audit Committee.</w:t>
      </w:r>
    </w:p>
    <w:p>
      <w:pPr>
        <w:pStyle w:val="ListBullet"/>
        <w:spacing w:before="0" w:after="60"/>
        <w:ind w:left="312" w:hanging="227"/>
      </w:pPr>
      <w:r>
        <w:rPr>
          <w:rFonts w:ascii="Calibri" w:hAnsi="Calibri" w:eastAsia="Calibri" w:cs="Calibri"/>
          <w:b w:val="0"/>
          <w:i w:val="0"/>
          <w:sz w:val="20"/>
        </w:rPr>
        <w:t xml:space="preserve">Experience of sustainability or ESG reporting is desirable.</w:t>
      </w:r>
    </w:p>
    <w:p>
      <w:pPr>
        <w:keepNext/>
        <w:spacing w:before="240" w:after="80"/>
      </w:pPr>
      <w:r>
        <w:rPr>
          <w:rFonts w:ascii="Cambria" w:hAnsi="Cambria" w:eastAsia="Cambria" w:cs="Cambria"/>
          <w:b w:val="0"/>
          <w:i w:val="0"/>
          <w:color w:val="5F6B77"/>
          <w:sz w:val="23"/>
        </w:rPr>
        <w:t>Leadership competencies</w:t>
      </w:r>
    </w:p>
    <w:tbl>
      <w:tblPr>
        <w:tblLook w:firstColumn="1" w:firstRow="1" w:lastColumn="0" w:lastRow="0" w:noHBand="0" w:noVBand="1" w:val="04A0"/>
        <w:tblW w:w="963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721"/>
        <w:gridCol w:w="6917"/>
      </w:tblGrid>
      <w:tr>
        <w:trPr>
          <w:cantSplit/>
        </w:trPr>
        <w:tc>
          <w:tcPr>
            <w:tcW w:type="dxa" w:w="2721"/>
            <w:tcBorders>
              <w:left w:val="single" w:sz="24" w:space="0" w:color="5F6B77"/>
              <w:bottom w:val="single" w:sz="4" w:space="0" w:color="DFE0E1"/>
            </w:tcBorders>
            <w:tcMar>
              <w:top w:w="90" w:type="dxa"/>
              <w:left w:w="180" w:type="dxa"/>
              <w:bottom w:w="90" w:type="dxa"/>
              <w:right w:w="200" w:type="dxa"/>
            </w:tcMar>
          </w:tcPr>
          <w:p>
            <w:r>
              <w:rPr>
                <w:rFonts w:ascii="Calibri" w:hAnsi="Calibri" w:eastAsia="Calibri" w:cs="Calibri"/>
                <w:b/>
                <w:i w:val="0"/>
                <w:color w:val="2E3338"/>
                <w:sz w:val="20"/>
              </w:rPr>
              <w:t xml:space="preserve">Strategic leadership</w:t>
            </w:r>
          </w:p>
        </w:tc>
        <w:tc>
          <w:tcPr>
            <w:tcW w:type="dxa" w:w="6917"/>
            <w:tcBorders>
              <w:bottom w:val="single" w:sz="4" w:space="0" w:color="DFE0E1"/>
            </w:tcBorders>
            <w:tcMar>
              <w:top w:w="90" w:type="dxa"/>
              <w:left w:w="0" w:type="dxa"/>
              <w:bottom w:w="90" w:type="dxa"/>
              <w:right w:w="0" w:type="dxa"/>
            </w:tcMar>
          </w:tcPr>
          <w:p>
            <w:r>
              <w:rPr>
                <w:rFonts w:ascii="Calibri" w:hAnsi="Calibri" w:eastAsia="Calibri" w:cs="Calibri"/>
                <w:b w:val="0"/>
                <w:i w:val="0"/>
                <w:color w:val="1F2226"/>
                <w:sz w:val="19"/>
              </w:rPr>
              <w:t xml:space="preserve">Shapes the group's direction with the Chief Executive and turns strategy into clear financial priorities and measurable targets.</w:t>
            </w:r>
          </w:p>
        </w:tc>
      </w:tr>
      <w:tr>
        <w:trPr>
          <w:cantSplit/>
        </w:trPr>
        <w:tc>
          <w:tcPr>
            <w:tcW w:type="dxa" w:w="2721"/>
            <w:tcBorders>
              <w:left w:val="single" w:sz="24" w:space="0" w:color="5F6B77"/>
              <w:bottom w:val="single" w:sz="4" w:space="0" w:color="DFE0E1"/>
            </w:tcBorders>
            <w:tcMar>
              <w:top w:w="90" w:type="dxa"/>
              <w:left w:w="180" w:type="dxa"/>
              <w:bottom w:w="90" w:type="dxa"/>
              <w:right w:w="200" w:type="dxa"/>
            </w:tcMar>
          </w:tcPr>
          <w:p>
            <w:r>
              <w:rPr>
                <w:rFonts w:ascii="Calibri" w:hAnsi="Calibri" w:eastAsia="Calibri" w:cs="Calibri"/>
                <w:b/>
                <w:i w:val="0"/>
                <w:color w:val="2E3338"/>
                <w:sz w:val="20"/>
              </w:rPr>
              <w:t xml:space="preserve">Commercial judgement</w:t>
            </w:r>
          </w:p>
        </w:tc>
        <w:tc>
          <w:tcPr>
            <w:tcW w:type="dxa" w:w="6917"/>
            <w:tcBorders>
              <w:bottom w:val="single" w:sz="4" w:space="0" w:color="DFE0E1"/>
            </w:tcBorders>
            <w:tcMar>
              <w:top w:w="90" w:type="dxa"/>
              <w:left w:w="0" w:type="dxa"/>
              <w:bottom w:w="90" w:type="dxa"/>
              <w:right w:w="0" w:type="dxa"/>
            </w:tcMar>
          </w:tcPr>
          <w:p>
            <w:r>
              <w:rPr>
                <w:rFonts w:ascii="Calibri" w:hAnsi="Calibri" w:eastAsia="Calibri" w:cs="Calibri"/>
                <w:b w:val="0"/>
                <w:i w:val="0"/>
                <w:color w:val="1F2226"/>
                <w:sz w:val="19"/>
              </w:rPr>
              <w:t xml:space="preserve">Understands how the business makes money, site by site, and challenges constructively where returns fall short.</w:t>
            </w:r>
          </w:p>
        </w:tc>
      </w:tr>
      <w:tr>
        <w:trPr>
          <w:cantSplit/>
        </w:trPr>
        <w:tc>
          <w:tcPr>
            <w:tcW w:type="dxa" w:w="2721"/>
            <w:tcBorders>
              <w:left w:val="single" w:sz="24" w:space="0" w:color="5F6B77"/>
              <w:bottom w:val="single" w:sz="4" w:space="0" w:color="DFE0E1"/>
            </w:tcBorders>
            <w:tcMar>
              <w:top w:w="90" w:type="dxa"/>
              <w:left w:w="180" w:type="dxa"/>
              <w:bottom w:w="90" w:type="dxa"/>
              <w:right w:w="200" w:type="dxa"/>
            </w:tcMar>
          </w:tcPr>
          <w:p>
            <w:r>
              <w:rPr>
                <w:rFonts w:ascii="Calibri" w:hAnsi="Calibri" w:eastAsia="Calibri" w:cs="Calibri"/>
                <w:b/>
                <w:i w:val="0"/>
                <w:color w:val="2E3338"/>
                <w:sz w:val="20"/>
              </w:rPr>
              <w:t xml:space="preserve">Leading change</w:t>
            </w:r>
          </w:p>
        </w:tc>
        <w:tc>
          <w:tcPr>
            <w:tcW w:type="dxa" w:w="6917"/>
            <w:tcBorders>
              <w:bottom w:val="single" w:sz="4" w:space="0" w:color="DFE0E1"/>
            </w:tcBorders>
            <w:tcMar>
              <w:top w:w="90" w:type="dxa"/>
              <w:left w:w="0" w:type="dxa"/>
              <w:bottom w:w="90" w:type="dxa"/>
              <w:right w:w="0" w:type="dxa"/>
            </w:tcMar>
          </w:tcPr>
          <w:p>
            <w:r>
              <w:rPr>
                <w:rFonts w:ascii="Calibri" w:hAnsi="Calibri" w:eastAsia="Calibri" w:cs="Calibri"/>
                <w:b w:val="0"/>
                <w:i w:val="0"/>
                <w:color w:val="1F2226"/>
                <w:sz w:val="19"/>
              </w:rPr>
              <w:t xml:space="preserve">Brings a group that grew through acquisition onto common processes and systems without losing operational focus.</w:t>
            </w:r>
          </w:p>
        </w:tc>
      </w:tr>
      <w:tr>
        <w:trPr>
          <w:cantSplit/>
        </w:trPr>
        <w:tc>
          <w:tcPr>
            <w:tcW w:type="dxa" w:w="2721"/>
            <w:tcBorders>
              <w:left w:val="single" w:sz="24" w:space="0" w:color="5F6B77"/>
              <w:bottom w:val="single" w:sz="4" w:space="0" w:color="DFE0E1"/>
            </w:tcBorders>
            <w:tcMar>
              <w:top w:w="90" w:type="dxa"/>
              <w:left w:w="180" w:type="dxa"/>
              <w:bottom w:w="90" w:type="dxa"/>
              <w:right w:w="200" w:type="dxa"/>
            </w:tcMar>
          </w:tcPr>
          <w:p>
            <w:r>
              <w:rPr>
                <w:rFonts w:ascii="Calibri" w:hAnsi="Calibri" w:eastAsia="Calibri" w:cs="Calibri"/>
                <w:b/>
                <w:i w:val="0"/>
                <w:color w:val="2E3338"/>
                <w:sz w:val="20"/>
              </w:rPr>
              <w:t xml:space="preserve">Stakeholder influence</w:t>
            </w:r>
          </w:p>
        </w:tc>
        <w:tc>
          <w:tcPr>
            <w:tcW w:type="dxa" w:w="6917"/>
            <w:tcBorders>
              <w:bottom w:val="single" w:sz="4" w:space="0" w:color="DFE0E1"/>
            </w:tcBorders>
            <w:tcMar>
              <w:top w:w="90" w:type="dxa"/>
              <w:left w:w="0" w:type="dxa"/>
              <w:bottom w:w="90" w:type="dxa"/>
              <w:right w:w="0" w:type="dxa"/>
            </w:tcMar>
          </w:tcPr>
          <w:p>
            <w:r>
              <w:rPr>
                <w:rFonts w:ascii="Calibri" w:hAnsi="Calibri" w:eastAsia="Calibri" w:cs="Calibri"/>
                <w:b w:val="0"/>
                <w:i w:val="0"/>
                <w:color w:val="1F2226"/>
                <w:sz w:val="19"/>
              </w:rPr>
              <w:t xml:space="preserve">Earns the trust of the Board, investors and lenders through clear, candid communication and consistent delivery.</w:t>
            </w:r>
          </w:p>
        </w:tc>
      </w:tr>
      <w:tr>
        <w:trPr>
          <w:cantSplit/>
        </w:trPr>
        <w:tc>
          <w:tcPr>
            <w:tcW w:type="dxa" w:w="2721"/>
            <w:tcBorders>
              <w:left w:val="single" w:sz="24" w:space="0" w:color="5F6B77"/>
              <w:bottom w:val="single" w:sz="4" w:space="0" w:color="DFE0E1"/>
            </w:tcBorders>
            <w:tcMar>
              <w:top w:w="90" w:type="dxa"/>
              <w:left w:w="180" w:type="dxa"/>
              <w:bottom w:w="90" w:type="dxa"/>
              <w:right w:w="200" w:type="dxa"/>
            </w:tcMar>
          </w:tcPr>
          <w:p>
            <w:r>
              <w:rPr>
                <w:rFonts w:ascii="Calibri" w:hAnsi="Calibri" w:eastAsia="Calibri" w:cs="Calibri"/>
                <w:b/>
                <w:i w:val="0"/>
                <w:color w:val="2E3338"/>
                <w:sz w:val="20"/>
              </w:rPr>
              <w:t xml:space="preserve">Building teams</w:t>
            </w:r>
          </w:p>
        </w:tc>
        <w:tc>
          <w:tcPr>
            <w:tcW w:type="dxa" w:w="6917"/>
            <w:tcBorders>
              <w:bottom w:val="single" w:sz="4" w:space="0" w:color="DFE0E1"/>
            </w:tcBorders>
            <w:tcMar>
              <w:top w:w="90" w:type="dxa"/>
              <w:left w:w="0" w:type="dxa"/>
              <w:bottom w:w="90" w:type="dxa"/>
              <w:right w:w="0" w:type="dxa"/>
            </w:tcMar>
          </w:tcPr>
          <w:p>
            <w:r>
              <w:rPr>
                <w:rFonts w:ascii="Calibri" w:hAnsi="Calibri" w:eastAsia="Calibri" w:cs="Calibri"/>
                <w:b w:val="0"/>
                <w:i w:val="0"/>
                <w:color w:val="1F2226"/>
                <w:sz w:val="19"/>
              </w:rPr>
              <w:t xml:space="preserve">Attracts, develops and retains strong finance professionals and builds a culture of accountability and partnership.</w:t>
            </w:r>
          </w:p>
        </w:tc>
      </w:tr>
    </w:tbl>
    <w:p>
      <w:pPr>
        <w:keepNext/>
        <w:spacing w:before="240" w:after="80"/>
      </w:pPr>
      <w:r>
        <w:rPr>
          <w:rFonts w:ascii="Cambria" w:hAnsi="Cambria" w:eastAsia="Cambria" w:cs="Cambria"/>
          <w:b w:val="0"/>
          <w:i w:val="0"/>
          <w:color w:val="5F6B77"/>
          <w:sz w:val="23"/>
        </w:rPr>
        <w:t>Personal qualities</w:t>
      </w:r>
    </w:p>
    <w:p>
      <w:pPr>
        <w:pStyle w:val="ListBullet"/>
        <w:spacing w:before="0" w:after="60"/>
        <w:ind w:left="312" w:hanging="227"/>
      </w:pPr>
      <w:r>
        <w:rPr>
          <w:rFonts w:ascii="Calibri" w:hAnsi="Calibri" w:eastAsia="Calibri" w:cs="Calibri"/>
          <w:b w:val="0"/>
          <w:i w:val="0"/>
          <w:sz w:val="20"/>
        </w:rPr>
        <w:t xml:space="preserve">High integrity and sound judgement under pressure</w:t>
      </w:r>
    </w:p>
    <w:p>
      <w:pPr>
        <w:pStyle w:val="ListBullet"/>
        <w:spacing w:before="0" w:after="60"/>
        <w:ind w:left="312" w:hanging="227"/>
      </w:pPr>
      <w:r>
        <w:rPr>
          <w:rFonts w:ascii="Calibri" w:hAnsi="Calibri" w:eastAsia="Calibri" w:cs="Calibri"/>
          <w:b w:val="0"/>
          <w:i w:val="0"/>
          <w:sz w:val="20"/>
        </w:rPr>
        <w:t xml:space="preserve">Collaborative, approachable and visible across the sites</w:t>
      </w:r>
    </w:p>
    <w:p>
      <w:pPr>
        <w:pStyle w:val="ListBullet"/>
        <w:spacing w:before="0" w:after="60"/>
        <w:ind w:left="312" w:hanging="227"/>
      </w:pPr>
      <w:r>
        <w:rPr>
          <w:rFonts w:ascii="Calibri" w:hAnsi="Calibri" w:eastAsia="Calibri" w:cs="Calibri"/>
          <w:b w:val="0"/>
          <w:i w:val="0"/>
          <w:sz w:val="20"/>
        </w:rPr>
        <w:t xml:space="preserve">Energetic and curious, with a practical, hands-on style</w:t>
      </w:r>
    </w:p>
    <w:p>
      <w:pPr>
        <w:pStyle w:val="ListBullet"/>
        <w:spacing w:before="0" w:after="60"/>
        <w:ind w:left="312" w:hanging="227"/>
      </w:pPr>
      <w:r>
        <w:rPr>
          <w:rFonts w:ascii="Calibri" w:hAnsi="Calibri" w:eastAsia="Calibri" w:cs="Calibri"/>
          <w:b w:val="0"/>
          <w:i w:val="0"/>
          <w:sz w:val="20"/>
        </w:rPr>
        <w:t xml:space="preserve">Resilient and calm, able to balance detail with the bigger picture</w:t>
      </w:r>
    </w:p>
    <w:p>
      <w:pPr>
        <w:keepNext/>
        <w:spacing w:before="360" w:after="140"/>
        <w:pBdr>
          <w:bottom w:val="single" w:sz="6" w:space="4" w:color="DFE0E1"/>
        </w:pBdr>
      </w:pPr>
      <w:r>
        <w:rPr>
          <w:rFonts w:ascii="Cambria" w:hAnsi="Cambria" w:eastAsia="Cambria" w:cs="Cambria"/>
          <w:b w:val="0"/>
          <w:i w:val="0"/>
          <w:color w:val="2E3338"/>
          <w:sz w:val="30"/>
        </w:rPr>
        <w:t>Remuneration and terms</w:t>
      </w:r>
    </w:p>
    <w:tbl>
      <w:tblPr>
        <w:tblLook w:firstColumn="1" w:firstRow="1" w:lastColumn="0" w:lastRow="0" w:noHBand="0" w:noVBand="1" w:val="04A0"/>
        <w:tblW w:w="9638" w:type="dxa"/>
        <w:jc w:val="left"/>
        <w:tblInd w:w="260" w:type="dxa"/>
        <w:tblLayout w:type="fixed"/>
        <w:tblBorders>
          <w:top w:val="nil"/>
          <w:left w:val="nil"/>
          <w:bottom w:val="nil"/>
          <w:right w:val="nil"/>
          <w:insideH w:val="nil"/>
          <w:insideV w:val="nil"/>
        </w:tblBorders>
        <w:tblCellMar>
          <w:top w:w="0" w:type="dxa"/>
          <w:left w:w="0" w:type="dxa"/>
          <w:bottom w:w="0" w:type="dxa"/>
          <w:right w:w="0" w:type="dxa"/>
        </w:tblCellMar>
      </w:tblPr>
      <w:tblGrid>
        <w:gridCol w:w="4819"/>
        <w:gridCol w:w="4819"/>
      </w:tblGrid>
      <w:tr>
        <w:trPr>
          <w:cantSplit/>
        </w:trPr>
        <w:tc>
          <w:tcPr>
            <w:tcW w:type="dxa" w:w="9638"/>
            <w:shd w:val="clear" w:color="auto" w:fill="F1F2F3"/>
            <w:tcMar>
              <w:top w:w="140" w:type="dxa"/>
              <w:left w:w="260" w:type="dxa"/>
              <w:bottom w:w="160" w:type="dxa"/>
              <w:right w:w="260" w:type="dxa"/>
            </w:tcMar>
          </w:tcPr>
          <w:tbl>
            <w:tblPr>
              <w:tblLook w:firstColumn="1" w:firstRow="1" w:lastColumn="0" w:lastRow="0" w:noHBand="0" w:noVBand="1" w:val="04A0"/>
              <w:tblW w:w="911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6624"/>
            </w:tblGrid>
            <w:tr>
              <w:trPr>
                <w:cantSplit/>
              </w:trPr>
              <w:tc>
                <w:tcPr>
                  <w:tcW w:type="dxa" w:w="2494"/>
                  <w:tcMar>
                    <w:top w:w="50" w:type="dxa"/>
                    <w:left w:w="0" w:type="dxa"/>
                    <w:bottom w:w="50" w:type="dxa"/>
                    <w:right w:w="160" w:type="dxa"/>
                  </w:tcMar>
                </w:tcPr>
                <w:p>
                  <w:r>
                    <w:rPr>
                      <w:rFonts w:ascii="Calibri" w:hAnsi="Calibri" w:eastAsia="Calibri" w:cs="Calibri"/>
                      <w:b w:val="0"/>
                      <w:i w:val="0"/>
                      <w:color w:val="6B6D70"/>
                      <w:sz w:val="19"/>
                    </w:rPr>
                    <w:t xml:space="preserve">Base salary</w:t>
                  </w:r>
                </w:p>
              </w:tc>
              <w:tc>
                <w:tcPr>
                  <w:tcW w:type="dxa" w:w="6624"/>
                  <w:tcMar>
                    <w:top w:w="50" w:type="dxa"/>
                    <w:left w:w="0" w:type="dxa"/>
                    <w:bottom w:w="50" w:type="dxa"/>
                    <w:right w:w="0" w:type="dxa"/>
                  </w:tcMar>
                </w:tcPr>
                <w:p>
                  <w:r>
                    <w:rPr>
                      <w:rFonts w:ascii="Calibri" w:hAnsi="Calibri" w:eastAsia="Calibri" w:cs="Calibri"/>
                      <w:b/>
                      <w:i w:val="0"/>
                      <w:color w:val="2E3338"/>
                      <w:sz w:val="20"/>
                    </w:rPr>
                    <w:t xml:space="preserve">£300,000 – £340,000</w:t>
                  </w:r>
                </w:p>
              </w:tc>
            </w:tr>
            <w:tr>
              <w:trPr>
                <w:cantSplit/>
              </w:trPr>
              <w:tc>
                <w:tcPr>
                  <w:tcW w:type="dxa" w:w="2494"/>
                  <w:tcMar>
                    <w:top w:w="50" w:type="dxa"/>
                    <w:left w:w="0" w:type="dxa"/>
                    <w:bottom w:w="50" w:type="dxa"/>
                    <w:right w:w="160" w:type="dxa"/>
                  </w:tcMar>
                </w:tcPr>
                <w:p>
                  <w:r>
                    <w:rPr>
                      <w:rFonts w:ascii="Calibri" w:hAnsi="Calibri" w:eastAsia="Calibri" w:cs="Calibri"/>
                      <w:b w:val="0"/>
                      <w:i w:val="0"/>
                      <w:color w:val="6B6D70"/>
                      <w:sz w:val="19"/>
                    </w:rPr>
                    <w:t xml:space="preserve">Bonus</w:t>
                  </w:r>
                </w:p>
              </w:tc>
              <w:tc>
                <w:tcPr>
                  <w:tcW w:type="dxa" w:w="6624"/>
                  <w:tcMar>
                    <w:top w:w="50" w:type="dxa"/>
                    <w:left w:w="0" w:type="dxa"/>
                    <w:bottom w:w="50" w:type="dxa"/>
                    <w:right w:w="0" w:type="dxa"/>
                  </w:tcMar>
                </w:tcPr>
                <w:p>
                  <w:r>
                    <w:rPr>
                      <w:rFonts w:ascii="Calibri" w:hAnsi="Calibri" w:eastAsia="Calibri" w:cs="Calibri"/>
                      <w:b/>
                      <w:i w:val="0"/>
                      <w:color w:val="2E3338"/>
                      <w:sz w:val="20"/>
                    </w:rPr>
                    <w:t xml:space="preserve">Up to 100% of salary, part deferred into shares</w:t>
                  </w:r>
                </w:p>
              </w:tc>
            </w:tr>
            <w:tr>
              <w:trPr>
                <w:cantSplit/>
              </w:trPr>
              <w:tc>
                <w:tcPr>
                  <w:tcW w:type="dxa" w:w="2494"/>
                  <w:tcMar>
                    <w:top w:w="50" w:type="dxa"/>
                    <w:left w:w="0" w:type="dxa"/>
                    <w:bottom w:w="50" w:type="dxa"/>
                    <w:right w:w="160" w:type="dxa"/>
                  </w:tcMar>
                </w:tcPr>
                <w:p>
                  <w:r>
                    <w:rPr>
                      <w:rFonts w:ascii="Calibri" w:hAnsi="Calibri" w:eastAsia="Calibri" w:cs="Calibri"/>
                      <w:b w:val="0"/>
                      <w:i w:val="0"/>
                      <w:color w:val="6B6D70"/>
                      <w:sz w:val="19"/>
                    </w:rPr>
                    <w:t xml:space="preserve">Long-term incentive</w:t>
                  </w:r>
                </w:p>
              </w:tc>
              <w:tc>
                <w:tcPr>
                  <w:tcW w:type="dxa" w:w="6624"/>
                  <w:tcMar>
                    <w:top w:w="50" w:type="dxa"/>
                    <w:left w:w="0" w:type="dxa"/>
                    <w:bottom w:w="50" w:type="dxa"/>
                    <w:right w:w="0" w:type="dxa"/>
                  </w:tcMar>
                </w:tcPr>
                <w:p>
                  <w:r>
                    <w:rPr>
                      <w:rFonts w:ascii="Calibri" w:hAnsi="Calibri" w:eastAsia="Calibri" w:cs="Calibri"/>
                      <w:b/>
                      <w:i w:val="0"/>
                      <w:color w:val="2E3338"/>
                      <w:sz w:val="20"/>
                    </w:rPr>
                    <w:t xml:space="preserve">Performance Share Plan, up to 150% of salary</w:t>
                  </w:r>
                </w:p>
              </w:tc>
            </w:tr>
            <w:tr>
              <w:trPr>
                <w:cantSplit/>
              </w:trPr>
              <w:tc>
                <w:tcPr>
                  <w:tcW w:type="dxa" w:w="2494"/>
                  <w:tcMar>
                    <w:top w:w="50" w:type="dxa"/>
                    <w:left w:w="0" w:type="dxa"/>
                    <w:bottom w:w="50" w:type="dxa"/>
                    <w:right w:w="160" w:type="dxa"/>
                  </w:tcMar>
                </w:tcPr>
                <w:p>
                  <w:r>
                    <w:rPr>
                      <w:rFonts w:ascii="Calibri" w:hAnsi="Calibri" w:eastAsia="Calibri" w:cs="Calibri"/>
                      <w:b w:val="0"/>
                      <w:i w:val="0"/>
                      <w:color w:val="6B6D70"/>
                      <w:sz w:val="19"/>
                    </w:rPr>
                    <w:t xml:space="preserve">Benefits</w:t>
                  </w:r>
                </w:p>
              </w:tc>
              <w:tc>
                <w:tcPr>
                  <w:tcW w:type="dxa" w:w="6624"/>
                  <w:tcMar>
                    <w:top w:w="50" w:type="dxa"/>
                    <w:left w:w="0" w:type="dxa"/>
                    <w:bottom w:w="50" w:type="dxa"/>
                    <w:right w:w="0" w:type="dxa"/>
                  </w:tcMar>
                </w:tcPr>
                <w:p>
                  <w:r>
                    <w:rPr>
                      <w:rFonts w:ascii="Calibri" w:hAnsi="Calibri" w:eastAsia="Calibri" w:cs="Calibri"/>
                      <w:b/>
                      <w:i w:val="0"/>
                      <w:color w:val="2E3338"/>
                      <w:sz w:val="20"/>
                    </w:rPr>
                    <w:t xml:space="preserve">Pension contribution of 8%, car allowance, private medical cover</w:t>
                  </w:r>
                </w:p>
              </w:tc>
            </w:tr>
          </w:tbl>
          <w:p/>
          <w:p>
            <w:pPr>
              <w:spacing w:before="120" w:after="0"/>
            </w:pPr>
            <w:r>
              <w:rPr>
                <w:rFonts w:ascii="Calibri" w:hAnsi="Calibri" w:eastAsia="Calibri" w:cs="Calibri"/>
                <w:b w:val="0"/>
                <w:i/>
                <w:color w:val="6B6D70"/>
                <w:sz w:val="17"/>
              </w:rPr>
              <w:t xml:space="preserve">Remuneration is in line with the group's Directors' Remuneration Policy.</w:t>
            </w:r>
          </w:p>
          <w:p>
            <w:pPr>
              <w:spacing w:before="0" w:after="0" w:line="2" w:lineRule="exact"/>
            </w:pPr>
            <w:r>
              <w:rPr>
                <w:rFonts w:ascii="Calibri" w:hAnsi="Calibri" w:eastAsia="Calibri" w:cs="Calibri"/>
                <w:b w:val="0"/>
                <w:i w:val="0"/>
                <w:sz w:val="2"/>
              </w:rPr>
            </w:r>
          </w:p>
        </w:tc>
      </w:tr>
    </w:tbl>
    <w:p>
      <w:pPr>
        <w:keepNext/>
        <w:spacing w:before="360" w:after="140"/>
        <w:pBdr>
          <w:bottom w:val="single" w:sz="6" w:space="4" w:color="DFE0E1"/>
        </w:pBdr>
      </w:pPr>
      <w:r>
        <w:rPr>
          <w:rFonts w:ascii="Cambria" w:hAnsi="Cambria" w:eastAsia="Cambria" w:cs="Cambria"/>
          <w:b w:val="0"/>
          <w:i w:val="0"/>
          <w:color w:val="2E3338"/>
          <w:sz w:val="30"/>
        </w:rPr>
        <w:t>Diversity and inclusion</w:t>
      </w:r>
    </w:p>
    <w:p>
      <w:pPr>
        <w:spacing w:before="0" w:after="80"/>
        <w:jc w:val="both"/>
      </w:pPr>
      <w:r>
        <w:rPr>
          <w:rFonts w:ascii="Calibri" w:hAnsi="Calibri" w:eastAsia="Calibri" w:cs="Calibri"/>
          <w:b w:val="0"/>
          <w:i w:val="0"/>
        </w:rPr>
        <w:t xml:space="preserve">Hollins &amp; Marr is committed to building a diverse leadership team and welcomes applications from all backgrounds. The group will make reasonable adjustments at every stage of the process for candidates who need them.</w:t>
      </w:r>
    </w:p>
    <w:p>
      <w:pPr>
        <w:keepNext/>
        <w:spacing w:before="360" w:after="140"/>
        <w:pBdr>
          <w:bottom w:val="single" w:sz="6" w:space="4" w:color="DFE0E1"/>
        </w:pBdr>
      </w:pPr>
      <w:r>
        <w:rPr>
          <w:rFonts w:ascii="Cambria" w:hAnsi="Cambria" w:eastAsia="Cambria" w:cs="Cambria"/>
          <w:b w:val="0"/>
          <w:i w:val="0"/>
          <w:color w:val="2E3338"/>
          <w:sz w:val="30"/>
        </w:rPr>
        <w:t>Process and timetable</w:t>
      </w:r>
    </w:p>
    <w:tbl>
      <w:tblPr>
        <w:tblLook w:firstColumn="1" w:firstRow="1" w:lastColumn="0" w:lastRow="0" w:noHBand="0" w:noVBand="1" w:val="04A0"/>
        <w:tblW w:w="963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737"/>
        <w:gridCol w:w="6463"/>
        <w:gridCol w:w="2438"/>
      </w:tblGrid>
      <w:tr>
        <w:trPr>
          <w:cantSplit/>
        </w:trPr>
        <w:tc>
          <w:tcPr>
            <w:tcW w:type="dxa" w:w="737"/>
            <w:tcBorders>
              <w:bottom w:val="single" w:sz="4" w:space="0" w:color="DFE0E1"/>
            </w:tcBorders>
            <w:tcMar>
              <w:top w:w="80" w:type="dxa"/>
              <w:left w:w="0" w:type="dxa"/>
              <w:bottom w:w="80" w:type="dxa"/>
              <w:right w:w="0" w:type="dxa"/>
            </w:tcMar>
            <w:vAlign w:val="center"/>
          </w:tcPr>
          <w:p>
            <w:r>
              <w:rPr>
                <w:rFonts w:ascii="Cambria" w:hAnsi="Cambria" w:eastAsia="Cambria" w:cs="Cambria"/>
                <w:b w:val="0"/>
                <w:i w:val="0"/>
                <w:color w:val="5F6B77"/>
                <w:sz w:val="26"/>
              </w:rPr>
              <w:t xml:space="preserve">01</w:t>
            </w:r>
          </w:p>
        </w:tc>
        <w:tc>
          <w:tcPr>
            <w:tcW w:type="dxa" w:w="6463"/>
            <w:tcBorders>
              <w:bottom w:val="single" w:sz="4" w:space="0" w:color="DFE0E1"/>
            </w:tcBorders>
            <w:tcMar>
              <w:top w:w="80" w:type="dxa"/>
              <w:left w:w="0" w:type="dxa"/>
              <w:bottom w:w="80" w:type="dxa"/>
              <w:right w:w="0" w:type="dxa"/>
            </w:tcMar>
            <w:vAlign w:val="center"/>
            <w:tcMar>
              <w:top w:w="80" w:type="dxa"/>
              <w:left w:w="0" w:type="dxa"/>
              <w:bottom w:w="80" w:type="dxa"/>
              <w:right w:w="200" w:type="dxa"/>
            </w:tcMar>
          </w:tcPr>
          <w:p>
            <w:r>
              <w:rPr>
                <w:rFonts w:ascii="Calibri" w:hAnsi="Calibri" w:eastAsia="Calibri" w:cs="Calibri"/>
                <w:b w:val="0"/>
                <w:i w:val="0"/>
                <w:color w:val="1F2226"/>
                <w:sz w:val="20"/>
              </w:rPr>
              <w:t xml:space="preserve">Closing date for expressions of interest</w:t>
            </w:r>
          </w:p>
        </w:tc>
        <w:tc>
          <w:tcPr>
            <w:tcW w:type="dxa" w:w="2438"/>
            <w:tcBorders>
              <w:bottom w:val="single" w:sz="4" w:space="0" w:color="DFE0E1"/>
            </w:tcBorders>
            <w:tcMar>
              <w:top w:w="80" w:type="dxa"/>
              <w:left w:w="0" w:type="dxa"/>
              <w:bottom w:w="80" w:type="dxa"/>
              <w:right w:w="0" w:type="dxa"/>
            </w:tcMar>
            <w:vAlign w:val="center"/>
          </w:tcPr>
          <w:p>
            <w:pPr>
              <w:jc w:val="right"/>
            </w:pPr>
            <w:r>
              <w:rPr>
                <w:rFonts w:ascii="Calibri" w:hAnsi="Calibri" w:eastAsia="Calibri" w:cs="Calibri"/>
                <w:b/>
                <w:i w:val="0"/>
                <w:color w:val="2E3338"/>
                <w:sz w:val="19"/>
              </w:rPr>
              <w:t xml:space="preserve">16 October 2026</w:t>
            </w:r>
          </w:p>
        </w:tc>
      </w:tr>
      <w:tr>
        <w:trPr>
          <w:cantSplit/>
        </w:trPr>
        <w:tc>
          <w:tcPr>
            <w:tcW w:type="dxa" w:w="737"/>
            <w:tcBorders>
              <w:bottom w:val="single" w:sz="4" w:space="0" w:color="DFE0E1"/>
            </w:tcBorders>
            <w:tcMar>
              <w:top w:w="80" w:type="dxa"/>
              <w:left w:w="0" w:type="dxa"/>
              <w:bottom w:w="80" w:type="dxa"/>
              <w:right w:w="0" w:type="dxa"/>
            </w:tcMar>
            <w:vAlign w:val="center"/>
          </w:tcPr>
          <w:p>
            <w:r>
              <w:rPr>
                <w:rFonts w:ascii="Cambria" w:hAnsi="Cambria" w:eastAsia="Cambria" w:cs="Cambria"/>
                <w:b w:val="0"/>
                <w:i w:val="0"/>
                <w:color w:val="5F6B77"/>
                <w:sz w:val="26"/>
              </w:rPr>
              <w:t xml:space="preserve">02</w:t>
            </w:r>
          </w:p>
        </w:tc>
        <w:tc>
          <w:tcPr>
            <w:tcW w:type="dxa" w:w="6463"/>
            <w:tcBorders>
              <w:bottom w:val="single" w:sz="4" w:space="0" w:color="DFE0E1"/>
            </w:tcBorders>
            <w:tcMar>
              <w:top w:w="80" w:type="dxa"/>
              <w:left w:w="0" w:type="dxa"/>
              <w:bottom w:w="80" w:type="dxa"/>
              <w:right w:w="0" w:type="dxa"/>
            </w:tcMar>
            <w:vAlign w:val="center"/>
            <w:tcMar>
              <w:top w:w="80" w:type="dxa"/>
              <w:left w:w="0" w:type="dxa"/>
              <w:bottom w:w="80" w:type="dxa"/>
              <w:right w:w="200" w:type="dxa"/>
            </w:tcMar>
          </w:tcPr>
          <w:p>
            <w:r>
              <w:rPr>
                <w:rFonts w:ascii="Calibri" w:hAnsi="Calibri" w:eastAsia="Calibri" w:cs="Calibri"/>
                <w:b w:val="0"/>
                <w:i w:val="0"/>
                <w:color w:val="1F2226"/>
                <w:sz w:val="20"/>
              </w:rPr>
              <w:t xml:space="preserve">First interviews with the search team</w:t>
            </w:r>
          </w:p>
        </w:tc>
        <w:tc>
          <w:tcPr>
            <w:tcW w:type="dxa" w:w="2438"/>
            <w:tcBorders>
              <w:bottom w:val="single" w:sz="4" w:space="0" w:color="DFE0E1"/>
            </w:tcBorders>
            <w:tcMar>
              <w:top w:w="80" w:type="dxa"/>
              <w:left w:w="0" w:type="dxa"/>
              <w:bottom w:w="80" w:type="dxa"/>
              <w:right w:w="0" w:type="dxa"/>
            </w:tcMar>
            <w:vAlign w:val="center"/>
          </w:tcPr>
          <w:p>
            <w:pPr>
              <w:jc w:val="right"/>
            </w:pPr>
            <w:r>
              <w:rPr>
                <w:rFonts w:ascii="Calibri" w:hAnsi="Calibri" w:eastAsia="Calibri" w:cs="Calibri"/>
                <w:b/>
                <w:i w:val="0"/>
                <w:color w:val="2E3338"/>
                <w:sz w:val="19"/>
              </w:rPr>
              <w:t xml:space="preserve">w/c 19 October 2026</w:t>
            </w:r>
          </w:p>
        </w:tc>
      </w:tr>
      <w:tr>
        <w:trPr>
          <w:cantSplit/>
        </w:trPr>
        <w:tc>
          <w:tcPr>
            <w:tcW w:type="dxa" w:w="737"/>
            <w:tcBorders>
              <w:bottom w:val="single" w:sz="4" w:space="0" w:color="DFE0E1"/>
            </w:tcBorders>
            <w:tcMar>
              <w:top w:w="80" w:type="dxa"/>
              <w:left w:w="0" w:type="dxa"/>
              <w:bottom w:w="80" w:type="dxa"/>
              <w:right w:w="0" w:type="dxa"/>
            </w:tcMar>
            <w:vAlign w:val="center"/>
          </w:tcPr>
          <w:p>
            <w:r>
              <w:rPr>
                <w:rFonts w:ascii="Cambria" w:hAnsi="Cambria" w:eastAsia="Cambria" w:cs="Cambria"/>
                <w:b w:val="0"/>
                <w:i w:val="0"/>
                <w:color w:val="5F6B77"/>
                <w:sz w:val="26"/>
              </w:rPr>
              <w:t xml:space="preserve">03</w:t>
            </w:r>
          </w:p>
        </w:tc>
        <w:tc>
          <w:tcPr>
            <w:tcW w:type="dxa" w:w="6463"/>
            <w:tcBorders>
              <w:bottom w:val="single" w:sz="4" w:space="0" w:color="DFE0E1"/>
            </w:tcBorders>
            <w:tcMar>
              <w:top w:w="80" w:type="dxa"/>
              <w:left w:w="0" w:type="dxa"/>
              <w:bottom w:w="80" w:type="dxa"/>
              <w:right w:w="0" w:type="dxa"/>
            </w:tcMar>
            <w:vAlign w:val="center"/>
            <w:tcMar>
              <w:top w:w="80" w:type="dxa"/>
              <w:left w:w="0" w:type="dxa"/>
              <w:bottom w:w="80" w:type="dxa"/>
              <w:right w:w="200" w:type="dxa"/>
            </w:tcMar>
          </w:tcPr>
          <w:p>
            <w:r>
              <w:rPr>
                <w:rFonts w:ascii="Calibri" w:hAnsi="Calibri" w:eastAsia="Calibri" w:cs="Calibri"/>
                <w:b w:val="0"/>
                <w:i w:val="0"/>
                <w:color w:val="1F2226"/>
                <w:sz w:val="20"/>
              </w:rPr>
              <w:t xml:space="preserve">Shortlist interviews with the Chief Executive and Chair</w:t>
            </w:r>
          </w:p>
        </w:tc>
        <w:tc>
          <w:tcPr>
            <w:tcW w:type="dxa" w:w="2438"/>
            <w:tcBorders>
              <w:bottom w:val="single" w:sz="4" w:space="0" w:color="DFE0E1"/>
            </w:tcBorders>
            <w:tcMar>
              <w:top w:w="80" w:type="dxa"/>
              <w:left w:w="0" w:type="dxa"/>
              <w:bottom w:w="80" w:type="dxa"/>
              <w:right w:w="0" w:type="dxa"/>
            </w:tcMar>
            <w:vAlign w:val="center"/>
          </w:tcPr>
          <w:p>
            <w:pPr>
              <w:jc w:val="right"/>
            </w:pPr>
            <w:r>
              <w:rPr>
                <w:rFonts w:ascii="Calibri" w:hAnsi="Calibri" w:eastAsia="Calibri" w:cs="Calibri"/>
                <w:b/>
                <w:i w:val="0"/>
                <w:color w:val="2E3338"/>
                <w:sz w:val="19"/>
              </w:rPr>
              <w:t xml:space="preserve">w/c 2 November 2026</w:t>
            </w:r>
          </w:p>
        </w:tc>
      </w:tr>
      <w:tr>
        <w:trPr>
          <w:cantSplit/>
        </w:trPr>
        <w:tc>
          <w:tcPr>
            <w:tcW w:type="dxa" w:w="737"/>
            <w:tcBorders>
              <w:bottom w:val="single" w:sz="4" w:space="0" w:color="DFE0E1"/>
            </w:tcBorders>
            <w:tcMar>
              <w:top w:w="80" w:type="dxa"/>
              <w:left w:w="0" w:type="dxa"/>
              <w:bottom w:w="80" w:type="dxa"/>
              <w:right w:w="0" w:type="dxa"/>
            </w:tcMar>
            <w:vAlign w:val="center"/>
          </w:tcPr>
          <w:p>
            <w:r>
              <w:rPr>
                <w:rFonts w:ascii="Cambria" w:hAnsi="Cambria" w:eastAsia="Cambria" w:cs="Cambria"/>
                <w:b w:val="0"/>
                <w:i w:val="0"/>
                <w:color w:val="5F6B77"/>
                <w:sz w:val="26"/>
              </w:rPr>
              <w:t xml:space="preserve">04</w:t>
            </w:r>
          </w:p>
        </w:tc>
        <w:tc>
          <w:tcPr>
            <w:tcW w:type="dxa" w:w="6463"/>
            <w:tcBorders>
              <w:bottom w:val="single" w:sz="4" w:space="0" w:color="DFE0E1"/>
            </w:tcBorders>
            <w:tcMar>
              <w:top w:w="80" w:type="dxa"/>
              <w:left w:w="0" w:type="dxa"/>
              <w:bottom w:w="80" w:type="dxa"/>
              <w:right w:w="0" w:type="dxa"/>
            </w:tcMar>
            <w:vAlign w:val="center"/>
            <w:tcMar>
              <w:top w:w="80" w:type="dxa"/>
              <w:left w:w="0" w:type="dxa"/>
              <w:bottom w:w="80" w:type="dxa"/>
              <w:right w:w="200" w:type="dxa"/>
            </w:tcMar>
          </w:tcPr>
          <w:p>
            <w:r>
              <w:rPr>
                <w:rFonts w:ascii="Calibri" w:hAnsi="Calibri" w:eastAsia="Calibri" w:cs="Calibri"/>
                <w:b w:val="0"/>
                <w:i w:val="0"/>
                <w:color w:val="1F2226"/>
                <w:sz w:val="20"/>
              </w:rPr>
              <w:t xml:space="preserve">Final interviews with the Nomination Committee and a site visit</w:t>
            </w:r>
          </w:p>
        </w:tc>
        <w:tc>
          <w:tcPr>
            <w:tcW w:type="dxa" w:w="2438"/>
            <w:tcBorders>
              <w:bottom w:val="single" w:sz="4" w:space="0" w:color="DFE0E1"/>
            </w:tcBorders>
            <w:tcMar>
              <w:top w:w="80" w:type="dxa"/>
              <w:left w:w="0" w:type="dxa"/>
              <w:bottom w:w="80" w:type="dxa"/>
              <w:right w:w="0" w:type="dxa"/>
            </w:tcMar>
            <w:vAlign w:val="center"/>
          </w:tcPr>
          <w:p>
            <w:pPr>
              <w:jc w:val="right"/>
            </w:pPr>
            <w:r>
              <w:rPr>
                <w:rFonts w:ascii="Calibri" w:hAnsi="Calibri" w:eastAsia="Calibri" w:cs="Calibri"/>
                <w:b/>
                <w:i w:val="0"/>
                <w:color w:val="2E3338"/>
                <w:sz w:val="19"/>
              </w:rPr>
              <w:t xml:space="preserve">w/c 16 November 2026</w:t>
            </w:r>
          </w:p>
        </w:tc>
      </w:tr>
      <w:tr>
        <w:trPr>
          <w:cantSplit/>
        </w:trPr>
        <w:tc>
          <w:tcPr>
            <w:tcW w:type="dxa" w:w="737"/>
            <w:tcBorders>
              <w:bottom w:val="single" w:sz="4" w:space="0" w:color="DFE0E1"/>
            </w:tcBorders>
            <w:tcMar>
              <w:top w:w="80" w:type="dxa"/>
              <w:left w:w="0" w:type="dxa"/>
              <w:bottom w:w="80" w:type="dxa"/>
              <w:right w:w="0" w:type="dxa"/>
            </w:tcMar>
            <w:vAlign w:val="center"/>
          </w:tcPr>
          <w:p>
            <w:r>
              <w:rPr>
                <w:rFonts w:ascii="Cambria" w:hAnsi="Cambria" w:eastAsia="Cambria" w:cs="Cambria"/>
                <w:b w:val="0"/>
                <w:i w:val="0"/>
                <w:color w:val="5F6B77"/>
                <w:sz w:val="26"/>
              </w:rPr>
              <w:t xml:space="preserve">05</w:t>
            </w:r>
          </w:p>
        </w:tc>
        <w:tc>
          <w:tcPr>
            <w:tcW w:type="dxa" w:w="6463"/>
            <w:tcBorders>
              <w:bottom w:val="single" w:sz="4" w:space="0" w:color="DFE0E1"/>
            </w:tcBorders>
            <w:tcMar>
              <w:top w:w="80" w:type="dxa"/>
              <w:left w:w="0" w:type="dxa"/>
              <w:bottom w:w="80" w:type="dxa"/>
              <w:right w:w="0" w:type="dxa"/>
            </w:tcMar>
            <w:vAlign w:val="center"/>
            <w:tcMar>
              <w:top w:w="80" w:type="dxa"/>
              <w:left w:w="0" w:type="dxa"/>
              <w:bottom w:w="80" w:type="dxa"/>
              <w:right w:w="200" w:type="dxa"/>
            </w:tcMar>
          </w:tcPr>
          <w:p>
            <w:r>
              <w:rPr>
                <w:rFonts w:ascii="Calibri" w:hAnsi="Calibri" w:eastAsia="Calibri" w:cs="Calibri"/>
                <w:b w:val="0"/>
                <w:i w:val="0"/>
                <w:color w:val="1F2226"/>
                <w:sz w:val="20"/>
              </w:rPr>
              <w:t xml:space="preserve">Referencing and offer</w:t>
            </w:r>
          </w:p>
        </w:tc>
        <w:tc>
          <w:tcPr>
            <w:tcW w:type="dxa" w:w="2438"/>
            <w:tcBorders>
              <w:bottom w:val="single" w:sz="4" w:space="0" w:color="DFE0E1"/>
            </w:tcBorders>
            <w:tcMar>
              <w:top w:w="80" w:type="dxa"/>
              <w:left w:w="0" w:type="dxa"/>
              <w:bottom w:w="80" w:type="dxa"/>
              <w:right w:w="0" w:type="dxa"/>
            </w:tcMar>
            <w:vAlign w:val="center"/>
          </w:tcPr>
          <w:p>
            <w:pPr>
              <w:jc w:val="right"/>
            </w:pPr>
            <w:r>
              <w:rPr>
                <w:rFonts w:ascii="Calibri" w:hAnsi="Calibri" w:eastAsia="Calibri" w:cs="Calibri"/>
                <w:b/>
                <w:i w:val="0"/>
                <w:color w:val="2E3338"/>
                <w:sz w:val="19"/>
              </w:rPr>
              <w:t xml:space="preserve">December 2026</w:t>
            </w:r>
          </w:p>
        </w:tc>
      </w:tr>
    </w:tbl>
    <w:p>
      <w:pPr>
        <w:keepNext/>
        <w:spacing w:before="360" w:after="140"/>
        <w:pBdr>
          <w:bottom w:val="single" w:sz="6" w:space="4" w:color="DFE0E1"/>
        </w:pBdr>
      </w:pPr>
      <w:r>
        <w:rPr>
          <w:rFonts w:ascii="Cambria" w:hAnsi="Cambria" w:eastAsia="Cambria" w:cs="Cambria"/>
          <w:b w:val="0"/>
          <w:i w:val="0"/>
          <w:color w:val="2E3338"/>
          <w:sz w:val="30"/>
        </w:rPr>
        <w:t>How to apply</w:t>
      </w:r>
    </w:p>
    <w:p>
      <w:pPr>
        <w:spacing w:before="0" w:after="160"/>
        <w:jc w:val="both"/>
      </w:pPr>
      <w:r>
        <w:rPr>
          <w:rFonts w:ascii="Calibri" w:hAnsi="Calibri" w:eastAsia="Calibri" w:cs="Calibri"/>
          <w:b w:val="0"/>
          <w:i w:val="0"/>
        </w:rPr>
        <w:t xml:space="preserve">To express interest, please send a CV and a short covering note to the consultants below by 16 October 2026. All approaches will be treated in the strictest confidence, and nothing will be shared with the client without your agreement.</w:t>
      </w:r>
    </w:p>
    <w:tbl>
      <w:tblPr>
        <w:tblLook w:firstColumn="1" w:firstRow="1" w:lastColumn="0" w:lastRow="0" w:noHBand="0" w:noVBand="1" w:val="04A0"/>
        <w:tblW w:w="9638" w:type="dxa"/>
        <w:jc w:val="left"/>
        <w:tblInd w:w="240" w:type="dxa"/>
        <w:tblLayout w:type="fixed"/>
        <w:tblBorders>
          <w:top w:val="nil"/>
          <w:left w:val="nil"/>
          <w:bottom w:val="nil"/>
          <w:right w:val="nil"/>
          <w:insideH w:val="nil"/>
          <w:insideV w:val="nil"/>
        </w:tblBorders>
        <w:tblCellMar>
          <w:top w:w="0" w:type="dxa"/>
          <w:left w:w="0" w:type="dxa"/>
          <w:bottom w:w="0" w:type="dxa"/>
          <w:right w:w="0" w:type="dxa"/>
        </w:tblCellMar>
      </w:tblPr>
      <w:tblGrid>
        <w:gridCol w:w="5301"/>
        <w:gridCol w:w="4337"/>
      </w:tblGrid>
      <w:tr>
        <w:trPr>
          <w:cantSplit/>
        </w:trPr>
        <w:tc>
          <w:tcPr>
            <w:tcW w:type="dxa" w:w="5301"/>
            <w:shd w:val="clear" w:color="auto" w:fill="F2F3F3"/>
            <w:tcBorders>
              <w:left w:val="single" w:sz="24" w:space="0" w:color="5F6B77"/>
              <w:bottom w:val="single" w:sz="12" w:space="0" w:color="FFFFFF"/>
            </w:tcBorders>
            <w:tcMar>
              <w:top w:w="140" w:type="dxa"/>
              <w:left w:w="240" w:type="dxa"/>
              <w:bottom w:w="140" w:type="dxa"/>
              <w:right w:w="200" w:type="dxa"/>
            </w:tcMar>
            <w:vAlign w:val="center"/>
          </w:tcPr>
          <w:p>
            <w:pPr>
              <w:spacing w:before="0" w:after="0"/>
            </w:pPr>
            <w:r>
              <w:rPr>
                <w:rFonts w:ascii="Calibri" w:hAnsi="Calibri" w:eastAsia="Calibri" w:cs="Calibri"/>
                <w:b/>
                <w:i w:val="0"/>
                <w:color w:val="2E3338"/>
                <w:sz w:val="21"/>
              </w:rPr>
              <w:t xml:space="preserve">Amelia Hartley</w:t>
            </w:r>
          </w:p>
          <w:p>
            <w:pPr>
              <w:spacing w:before="20" w:after="0"/>
            </w:pPr>
            <w:r>
              <w:rPr>
                <w:rFonts w:ascii="Calibri" w:hAnsi="Calibri" w:eastAsia="Calibri" w:cs="Calibri"/>
                <w:b w:val="0"/>
                <w:i w:val="0"/>
                <w:color w:val="6B6D70"/>
                <w:sz w:val="18"/>
              </w:rPr>
              <w:t xml:space="preserve">Partner, Industrial Practice</w:t>
            </w:r>
          </w:p>
        </w:tc>
        <w:tc>
          <w:tcPr>
            <w:tcW w:type="dxa" w:w="4337"/>
            <w:shd w:val="clear" w:color="auto" w:fill="F2F3F3"/>
            <w:tcBorders>
              <w:bottom w:val="single" w:sz="12" w:space="0" w:color="FFFFFF"/>
            </w:tcBorders>
            <w:tcMar>
              <w:top w:w="140" w:type="dxa"/>
              <w:left w:w="0" w:type="dxa"/>
              <w:bottom w:w="140" w:type="dxa"/>
              <w:right w:w="240" w:type="dxa"/>
            </w:tcMar>
            <w:vAlign w:val="center"/>
          </w:tcPr>
          <w:p>
            <w:pPr>
              <w:spacing w:before="0" w:after="0"/>
              <w:jc w:val="right"/>
            </w:pPr>
            <w:r>
              <w:rPr>
                <w:rFonts w:ascii="Calibri" w:hAnsi="Calibri" w:eastAsia="Calibri" w:cs="Calibri"/>
                <w:b w:val="0"/>
                <w:i w:val="0"/>
                <w:color w:val="1F2226"/>
                <w:sz w:val="19"/>
              </w:rPr>
              <w:t xml:space="preserve">amelia.hartley@example.com</w:t>
            </w:r>
          </w:p>
          <w:p>
            <w:pPr>
              <w:spacing w:before="20" w:after="0"/>
              <w:jc w:val="right"/>
            </w:pPr>
            <w:r>
              <w:rPr>
                <w:rFonts w:ascii="Calibri" w:hAnsi="Calibri" w:eastAsia="Calibri" w:cs="Calibri"/>
                <w:b/>
                <w:i w:val="0"/>
                <w:color w:val="5F6B77"/>
                <w:sz w:val="19"/>
              </w:rPr>
              <w:t xml:space="preserve">+44 7700 900214</w:t>
            </w:r>
          </w:p>
        </w:tc>
      </w:tr>
      <w:tr>
        <w:trPr>
          <w:cantSplit/>
        </w:trPr>
        <w:tc>
          <w:tcPr>
            <w:tcW w:type="dxa" w:w="5301"/>
            <w:shd w:val="clear" w:color="auto" w:fill="F2F3F3"/>
            <w:tcBorders>
              <w:left w:val="single" w:sz="24" w:space="0" w:color="5F6B77"/>
              <w:bottom w:val="single" w:sz="12" w:space="0" w:color="FFFFFF"/>
            </w:tcBorders>
            <w:tcMar>
              <w:top w:w="140" w:type="dxa"/>
              <w:left w:w="240" w:type="dxa"/>
              <w:bottom w:w="140" w:type="dxa"/>
              <w:right w:w="200" w:type="dxa"/>
            </w:tcMar>
            <w:vAlign w:val="center"/>
          </w:tcPr>
          <w:p>
            <w:pPr>
              <w:spacing w:before="0" w:after="0"/>
            </w:pPr>
            <w:r>
              <w:rPr>
                <w:rFonts w:ascii="Calibri" w:hAnsi="Calibri" w:eastAsia="Calibri" w:cs="Calibri"/>
                <w:b/>
                <w:i w:val="0"/>
                <w:color w:val="2E3338"/>
                <w:sz w:val="21"/>
              </w:rPr>
              <w:t xml:space="preserve">Tomasz Wren</w:t>
            </w:r>
          </w:p>
          <w:p>
            <w:pPr>
              <w:spacing w:before="20" w:after="0"/>
            </w:pPr>
            <w:r>
              <w:rPr>
                <w:rFonts w:ascii="Calibri" w:hAnsi="Calibri" w:eastAsia="Calibri" w:cs="Calibri"/>
                <w:b w:val="0"/>
                <w:i w:val="0"/>
                <w:color w:val="6B6D70"/>
                <w:sz w:val="18"/>
              </w:rPr>
              <w:t xml:space="preserve">Principal</w:t>
            </w:r>
          </w:p>
        </w:tc>
        <w:tc>
          <w:tcPr>
            <w:tcW w:type="dxa" w:w="4337"/>
            <w:shd w:val="clear" w:color="auto" w:fill="F2F3F3"/>
            <w:tcBorders>
              <w:bottom w:val="single" w:sz="12" w:space="0" w:color="FFFFFF"/>
            </w:tcBorders>
            <w:tcMar>
              <w:top w:w="140" w:type="dxa"/>
              <w:left w:w="0" w:type="dxa"/>
              <w:bottom w:w="140" w:type="dxa"/>
              <w:right w:w="240" w:type="dxa"/>
            </w:tcMar>
            <w:vAlign w:val="center"/>
          </w:tcPr>
          <w:p>
            <w:pPr>
              <w:spacing w:before="0" w:after="0"/>
              <w:jc w:val="right"/>
            </w:pPr>
            <w:r>
              <w:rPr>
                <w:rFonts w:ascii="Calibri" w:hAnsi="Calibri" w:eastAsia="Calibri" w:cs="Calibri"/>
                <w:b w:val="0"/>
                <w:i w:val="0"/>
                <w:color w:val="1F2226"/>
                <w:sz w:val="19"/>
              </w:rPr>
              <w:t xml:space="preserve">tomasz.wren@example.com</w:t>
            </w:r>
          </w:p>
          <w:p>
            <w:pPr>
              <w:spacing w:before="20" w:after="0"/>
              <w:jc w:val="right"/>
            </w:pPr>
            <w:r>
              <w:rPr>
                <w:rFonts w:ascii="Calibri" w:hAnsi="Calibri" w:eastAsia="Calibri" w:cs="Calibri"/>
                <w:b/>
                <w:i w:val="0"/>
                <w:color w:val="5F6B77"/>
                <w:sz w:val="19"/>
              </w:rPr>
              <w:t xml:space="preserve">+44 7700 900587</w:t>
            </w:r>
          </w:p>
        </w:tc>
      </w:tr>
      <w:tr>
        <w:trPr>
          <w:cantSplit/>
        </w:trPr>
        <w:tc>
          <w:tcPr>
            <w:tcW w:type="dxa" w:w="5301"/>
            <w:shd w:val="clear" w:color="auto" w:fill="F2F3F3"/>
            <w:tcBorders>
              <w:left w:val="single" w:sz="24" w:space="0" w:color="5F6B77"/>
              <w:bottom w:val="single" w:sz="12" w:space="0" w:color="FFFFFF"/>
            </w:tcBorders>
            <w:tcMar>
              <w:top w:w="140" w:type="dxa"/>
              <w:left w:w="240" w:type="dxa"/>
              <w:bottom w:w="140" w:type="dxa"/>
              <w:right w:w="200" w:type="dxa"/>
            </w:tcMar>
            <w:vAlign w:val="center"/>
          </w:tcPr>
          <w:p>
            <w:pPr>
              <w:spacing w:before="0" w:after="0"/>
            </w:pPr>
            <w:r>
              <w:rPr>
                <w:rFonts w:ascii="Calibri" w:hAnsi="Calibri" w:eastAsia="Calibri" w:cs="Calibri"/>
                <w:b/>
                <w:i w:val="0"/>
                <w:color w:val="2E3338"/>
                <w:sz w:val="21"/>
              </w:rPr>
              <w:t xml:space="preserve">Grace Adeyemi</w:t>
            </w:r>
          </w:p>
          <w:p>
            <w:pPr>
              <w:spacing w:before="20" w:after="0"/>
            </w:pPr>
            <w:r>
              <w:rPr>
                <w:rFonts w:ascii="Calibri" w:hAnsi="Calibri" w:eastAsia="Calibri" w:cs="Calibri"/>
                <w:b w:val="0"/>
                <w:i w:val="0"/>
                <w:color w:val="6B6D70"/>
                <w:sz w:val="18"/>
              </w:rPr>
              <w:t xml:space="preserve">Research Associate</w:t>
            </w:r>
          </w:p>
        </w:tc>
        <w:tc>
          <w:tcPr>
            <w:tcW w:type="dxa" w:w="4337"/>
            <w:shd w:val="clear" w:color="auto" w:fill="F2F3F3"/>
            <w:tcBorders>
              <w:bottom w:val="single" w:sz="12" w:space="0" w:color="FFFFFF"/>
            </w:tcBorders>
            <w:tcMar>
              <w:top w:w="140" w:type="dxa"/>
              <w:left w:w="0" w:type="dxa"/>
              <w:bottom w:w="140" w:type="dxa"/>
              <w:right w:w="240" w:type="dxa"/>
            </w:tcMar>
            <w:vAlign w:val="center"/>
          </w:tcPr>
          <w:p>
            <w:pPr>
              <w:spacing w:before="0" w:after="0"/>
              <w:jc w:val="right"/>
            </w:pPr>
            <w:r>
              <w:rPr>
                <w:rFonts w:ascii="Calibri" w:hAnsi="Calibri" w:eastAsia="Calibri" w:cs="Calibri"/>
                <w:b w:val="0"/>
                <w:i w:val="0"/>
                <w:color w:val="1F2226"/>
                <w:sz w:val="19"/>
              </w:rPr>
              <w:t xml:space="preserve">grace.adeyemi@example.com</w:t>
            </w:r>
          </w:p>
        </w:tc>
      </w:tr>
    </w:tbl>
    <w:p>
      <w:pPr>
        <w:spacing w:before="0" w:after="0" w:line="2" w:lineRule="exact"/>
      </w:pPr>
      <w:r>
        <w:rPr>
          <w:rFonts w:ascii="Calibri" w:hAnsi="Calibri" w:eastAsia="Calibri" w:cs="Calibri"/>
          <w:b w:val="0"/>
          <w:i w:val="0"/>
          <w:sz w:val="2"/>
        </w:rPr>
      </w:r>
    </w:p>
    <w:sectPr w:rsidR="00FC693F" w:rsidRPr="0006063C" w:rsidSect="00034616">
      <w:headerReference w:type="default" r:id="rId9"/>
      <w:footerReference w:type="default" r:id="rId10"/>
      <w:pgSz w:w="11906" w:h="16838"/>
      <w:pgMar w:top="1077" w:right="1134" w:bottom="964" w:left="1134" w:header="454"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6" w:space="6" w:color="DFE0E1"/>
      </w:pBdr>
    </w:pPr>
    <w:r/>
    <w:r>
      <w:rPr>
        <w:rFonts w:ascii="Calibri" w:hAnsi="Calibri" w:eastAsia="Calibri" w:cs="Calibri"/>
        <w:b w:val="0"/>
        <w:i w:val="0"/>
        <w:color w:val="6B6D70"/>
        <w:sz w:val="14"/>
      </w:rPr>
      <w:t>Confidential: prepared for candidates invited to consider this appointment. Please do not forward.</w:t>
    </w:r>
  </w:p>
  <w:p>
    <w:pPr>
      <w:tabs>
        <w:tab w:pos="9638" w:val="right"/>
      </w:tabs>
      <w:spacing w:before="40" w:after="0"/>
    </w:pPr>
    <w:r>
      <w:rPr>
        <w:rFonts w:ascii="Calibri" w:hAnsi="Calibri" w:eastAsia="Calibri" w:cs="Calibri"/>
        <w:b w:val="0"/>
        <w:i w:val="0"/>
        <w:color w:val="6B6D70"/>
        <w:sz w:val="14"/>
      </w:rPr>
      <w:t>Template by Formatix.AI — formatix.ai/templates</w:t>
    </w:r>
    <w:r>
      <w:rPr>
        <w:rFonts w:ascii="Calibri" w:hAnsi="Calibri" w:eastAsia="Calibri" w:cs="Calibri"/>
        <w:b w:val="0"/>
        <w:i w:val="0"/>
        <w:sz w:val="14"/>
      </w:rPr>
      <w:tab/>
    </w:r>
    <w:r>
      <w:rPr>
        <w:rFonts w:ascii="Calibri" w:hAnsi="Calibri" w:eastAsia="Calibri" w:cs="Calibri"/>
        <w:b w:val="0"/>
        <w:i w:val="0"/>
        <w:color w:val="6B6D70"/>
        <w:sz w:val="14"/>
      </w:rPr>
      <w:t xml:space="preserve">Page </w:t>
    </w:r>
    <w:r>
      <w:rPr>
        <w:rFonts w:ascii="Calibri" w:hAnsi="Calibri"/>
        <w:color w:val="6B6D70"/>
        <w:sz w:val="14"/>
      </w:rPr>
      <w:fldChar w:fldCharType="begin"/>
      <w:instrText xml:space="preserve"> PAGE </w:instrText>
      <w:fldChar w:fldCharType="separate"/>
      <w:t>1</w:t>
      <w:fldChar w:fldCharType="end"/>
    </w:r>
    <w:r>
      <w:rPr>
        <w:rFonts w:ascii="Calibri" w:hAnsi="Calibri" w:eastAsia="Calibri" w:cs="Calibri"/>
        <w:b w:val="0"/>
        <w:i w:val="0"/>
        <w:color w:val="6B6D70"/>
        <w:sz w:val="14"/>
      </w:rPr>
      <w:t xml:space="preserve"> of </w:t>
    </w:r>
    <w:r>
      <w:rPr>
        <w:rFonts w:ascii="Calibri" w:hAnsi="Calibri"/>
        <w:color w:val="6B6D70"/>
        <w:sz w:val="14"/>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Bdr>
        <w:bottom w:val="single" w:sz="6" w:space="6" w:color="DFE0E1"/>
      </w:pBdr>
    </w:pPr>
    <w:r/>
    <w:r>
      <w:drawing>
        <wp:inline xmlns:a="http://schemas.openxmlformats.org/drawingml/2006/main" xmlns:pic="http://schemas.openxmlformats.org/drawingml/2006/picture">
          <wp:extent cx="792000" cy="198000"/>
          <wp:docPr id="1" name="Picture 1"/>
          <wp:cNvGraphicFramePr>
            <a:graphicFrameLocks noChangeAspect="1"/>
          </wp:cNvGraphicFramePr>
          <a:graphic>
            <a:graphicData uri="http://schemas.openxmlformats.org/drawingml/2006/picture">
              <pic:pic>
                <pic:nvPicPr>
                  <pic:cNvPr id="0" name="your_logo.png"/>
                  <pic:cNvPicPr/>
                </pic:nvPicPr>
                <pic:blipFill>
                  <a:blip r:embed="rId1"/>
                  <a:stretch>
                    <a:fillRect/>
                  </a:stretch>
                </pic:blipFill>
                <pic:spPr>
                  <a:xfrm>
                    <a:off x="0" y="0"/>
                    <a:ext cx="792000" cy="198000"/>
                  </a:xfrm>
                  <a:prstGeom prst="rect"/>
                </pic:spPr>
              </pic:pic>
            </a:graphicData>
          </a:graphic>
        </wp:inline>
      </w:drawing>
    </w:r>
    <w:r>
      <w:rPr>
        <w:rFonts w:ascii="Calibri" w:hAnsi="Calibri" w:eastAsia="Calibri" w:cs="Calibri"/>
        <w:b w:val="0"/>
        <w:i w:val="0"/>
      </w:rPr>
      <w:tab/>
    </w:r>
    <w:r>
      <w:rPr>
        <w:rFonts w:ascii="Calibri" w:hAnsi="Calibri" w:eastAsia="Calibri" w:cs="Calibri"/>
        <w:b/>
        <w:i w:val="0"/>
        <w:caps/>
        <w:color w:val="5F6B77"/>
        <w:sz w:val="15"/>
        <w:spacing w:val="20"/>
      </w:rPr>
      <w:t>Position specification  ·  Confidential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0" w:line="264" w:lineRule="auto"/>
    </w:pPr>
    <w:rPr>
      <w:rFonts w:ascii="Calibri" w:hAnsi="Calibri" w:eastAsia="Calibri"/>
      <w:color w:val="1F2226"/>
      <w:sz w:val="20"/>
    </w:rPr>
  </w:style>
  <w:style w:type="paragraph" w:styleId="Header">
    <w:name w:val="header"/>
    <w:basedOn w:val="Normal"/>
    <w:link w:val="HeaderChar"/>
    <w:uiPriority w:val="99"/>
    <w:unhideWhenUsed/>
    <w:rsid w:val="00E618BF"/>
    <w:pPr>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libri" w:hAnsi="Calibri"/>
      <w:color w:val="1F2226"/>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Specification</dc:title>
  <dc:subject>Recruitment template</dc:subject>
  <dc:creator>Your Firm</dc:creator>
  <cp:keywords/>
  <dc:description>Example filled with a fictional candidate. Overwrite it with your own.</dc:description>
  <cp:lastModifiedBy>Your Firm</cp:lastModifiedBy>
  <cp:revision>1</cp:revision>
  <dcterms:created xsi:type="dcterms:W3CDTF">2013-12-23T23:15:00Z</dcterms:created>
  <dcterms:modified xsi:type="dcterms:W3CDTF">2013-12-23T23:15:00Z</dcterms:modified>
  <cp:category>Template</cp:category>
  <dc:identifier/>
  <dc:language/>
</cp:coreProperties>
</file>