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spacing w:before="0" w:after="0" w:line="2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324"/>
        <w:gridCol w:w="7542"/>
      </w:tblGrid>
      <w:tr>
        <w:tc>
          <w:tcPr>
            <w:tcW w:type="dxa" w:w="2324"/>
            <w:vAlign w:val="center"/>
            <w:tcMar>
              <w:top w:w="0" w:type="dxa"/>
              <w:left w:w="0" w:type="dxa"/>
              <w:bottom w:w="0" w:type="dxa"/>
              <w:right w:w="200" w:type="dxa"/>
            </w:tcMar>
          </w:tcPr>
          <w:p>
            <w:pPr>
              <w:spacing w:before="0" w:after="0" w:line="240" w:lineRule="auto"/>
              <w:jc w:val="left"/>
              <w:rPr>
                <w:sz w:val="2"/>
              </w:rPr>
            </w:pPr>
            <w:r>
              <w:drawing>
                <wp:inline distT="0" distB="0" distL="0" distR="0">
                  <wp:extent cx="1296000" cy="1080000"/>
                  <wp:effectExtent l="0" t="0" r="0" b="0"/>
                  <wp:docPr id="1001" name="Candidate photo frame 7701"/>
                  <wp:cNvGraphicFramePr/>
                  <a:graphic xmlns:a="http://schemas.openxmlformats.org/drawingml/2006/main">
                    <a:graphicData uri="http://schemas.microsoft.com/office/word/2010/wordprocessingShape">
                      <wps:wsp>
                        <wps:cNvSpPr txBox="1"/>
                        <wps:spPr>
                          <a:xfrm>
                            <a:off x="0" y="0"/>
                            <a:ext cx="1296000" cy="1080000"/>
                          </a:xfrm>
                          <a:prstGeom prst="rect">
                            <a:avLst/>
                          </a:prstGeom>
                          <a:noFill/>
                          <a:ln>
                            <a:noFill/>
                          </a:ln>
                        </wps:spPr>
                        <wps:txbx>
                          <w:txbxContent>
                            <w:p>
                              <w:pPr>
                                <w:spacing w:before="0" w:after="0" w:line="240" w:lineRule="auto"/>
                                <w:jc w:val="left"/>
                                <w:rPr>
                                  <w:sz w:val="2"/>
                                </w:rPr>
                              </w:pPr>
                              <w:r>
                                <w:rPr>
                                  <w:sz w:val="2"/>
                                </w:rPr>
                                <w:t xml:space="preserve"/>
                              </w:r>
                              <w:r>
                                <w:drawing>
                                  <wp:inline xmlns:pic="http://schemas.openxmlformats.org/drawingml/2006/picture">
                                    <wp:extent cx="1080000" cy="1080000"/>
                                    <wp:docPr id="1002" name="Picture 7702"/>
                                    <wp:cNvGraphicFramePr>
                                      <a:graphicFrameLocks noChangeAspect="1"/>
                                    </wp:cNvGraphicFramePr>
                                    <a:graphic>
                                      <a:graphicData uri="http://schemas.openxmlformats.org/drawingml/2006/picture">
                                        <pic:pic>
                                          <pic:nvPicPr>
                                            <pic:cNvPr id="0" name="helena-vos-round.png"/>
                                            <pic:cNvPicPr/>
                                          </pic:nvPicPr>
                                          <pic:blipFill>
                                            <a:blip r:embed="rId11"/>
                                            <a:stretch>
                                              <a:fillRect/>
                                            </a:stretch>
                                          </pic:blipFill>
                                          <pic:spPr>
                                            <a:xfrm>
                                              <a:off x="0" y="0"/>
                                              <a:ext cx="1080000" cy="1080000"/>
                                            </a:xfrm>
                                            <a:prstGeom prst="rect"/>
                                          </pic:spPr>
                                        </pic:pic>
                                      </a:graphicData>
                                    </a:graphic>
                                  </wp:inline>
                                </w:drawing>
                              </w:r>
                              <w:r>
                                <w:t xml:space="preserve"/>
                              </w:r>
                            </w:p>
                          </w:txbxContent>
                        </wps:txbx>
                        <wps:bodyPr rot="0" vert="horz" wrap="square" lIns="0" tIns="0" rIns="0" bIns="0" anchor="t" anchorCtr="0">
                          <a:noAutofit/>
                        </wps:bodyPr>
                      </wps:wsp>
                    </a:graphicData>
                  </a:graphic>
                </wp:inline>
              </w:drawing>
            </w:r>
          </w:p>
        </w:tc>
        <w:tc>
          <w:tcPr>
            <w:tcW w:type="dxa" w:w="7542"/>
            <w:vAlign w:val="center"/>
            <w:tcMar>
              <w:top w:w="0" w:type="dxa"/>
              <w:left w:w="200" w:type="dxa"/>
              <w:bottom w:w="0" w:type="dxa"/>
              <w:right w:w="0" w:type="dxa"/>
            </w:tcMar>
          </w:tcPr>
          <w:p>
            <w:pPr>
              <w:spacing w:before="0" w:after="40"/>
            </w:pPr>
            <w:r>
              <w:rPr>
                <w:rFonts w:ascii="Calibri" w:hAnsi="Calibri" w:eastAsia="Calibri" w:cs="Calibri"/>
                <w:b/>
                <w:i w:val="0"/>
                <w:caps/>
                <w:color w:val="5F6B77"/>
                <w:sz w:val="15"/>
                <w:spacing w:val="30"/>
              </w:rPr>
              <w:t xml:space="preserve">London</w:t>
            </w:r>
          </w:p>
          <w:p>
            <w:pPr>
              <w:spacing w:before="0" w:after="40"/>
            </w:pPr>
            <w:r>
              <w:rPr>
                <w:rFonts w:ascii="Cambria" w:hAnsi="Cambria" w:eastAsia="Cambria" w:cs="Cambria"/>
                <w:b w:val="0"/>
                <w:i w:val="0"/>
                <w:color w:val="2E3338"/>
                <w:sz w:val="48"/>
              </w:rPr>
              <w:t xml:space="preserve">Helena Vos</w:t>
            </w:r>
          </w:p>
          <w:p>
            <w:pPr>
              <w:spacing w:before="0" w:after="80"/>
            </w:pPr>
            <w:r>
              <w:rPr>
                <w:rFonts w:ascii="Calibri" w:hAnsi="Calibri" w:eastAsia="Calibri" w:cs="Calibri"/>
                <w:b/>
                <w:i w:val="0"/>
                <w:color w:val="5F6B77"/>
                <w:sz w:val="22"/>
              </w:rPr>
              <w:t xml:space="preserve">Partner</w:t>
            </w:r>
            <w:r>
              <w:rPr>
                <w:rFonts w:ascii="Calibri" w:hAnsi="Calibri" w:eastAsia="Calibri" w:cs="Calibri"/>
                <w:b w:val="0"/>
                <w:i w:val="0"/>
                <w:color w:val="6B6D70"/>
                <w:sz w:val="20"/>
              </w:rPr>
              <w:t xml:space="preserve">   ·   Ashbury &amp; Vale LLP</w:t>
            </w:r>
          </w:p>
          <w:p>
            <w:pPr>
              <w:spacing w:before="0" w:after="0"/>
              <w:pBdr>
                <w:top w:val="single" w:sz="6" w:space="4" w:color="DFE0E1"/>
              </w:pBdr>
            </w:pPr>
            <w:r>
              <w:rPr>
                <w:rFonts w:ascii="Calibri" w:hAnsi="Calibri" w:eastAsia="Calibri" w:cs="Calibri"/>
                <w:b w:val="0"/>
                <w:i w:val="0"/>
                <w:color w:val="2E3338"/>
                <w:sz w:val="19"/>
              </w:rPr>
              <w:t xml:space="preserve">Construction &amp; Engineering   ·   International Arbitration   ·   Infrastructure Projects</w:t>
            </w:r>
          </w:p>
        </w:tc>
      </w:tr>
    </w:tbl>
    <w:p>
      <w:pPr>
        <w:spacing w:before="0" w:after="0" w:line="20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6408"/>
        <w:gridCol w:w="340"/>
        <w:gridCol w:w="3118"/>
      </w:tblGrid>
      <w:tr>
        <w:tc>
          <w:tcPr>
            <w:tcW w:type="dxa" w:w="6408"/>
            <w:vAlign w:val="top"/>
          </w:tcPr>
          <w:p>
            <w:pPr>
              <w:spacing w:before="0" w:after="0" w:line="20" w:lineRule="exact"/>
            </w:pPr>
            <w:r>
              <w:rPr>
                <w:rFonts w:ascii="Calibri" w:hAnsi="Calibri" w:eastAsia="Calibri" w:cs="Calibri"/>
                <w:b w:val="0"/>
                <w:i w:val="0"/>
                <w:sz w:val="2"/>
              </w:rPr>
            </w:r>
          </w:p>
          <w:p>
            <w:pPr>
              <w:keepNext/>
              <w:spacing w:before="0" w:after="100"/>
              <w:pBdr>
                <w:bottom w:val="single" w:sz="6" w:space="4" w:color="DFE0E1"/>
              </w:pBdr>
            </w:pPr>
            <w:r>
              <w:rPr>
                <w:rFonts w:ascii="Cambria" w:hAnsi="Cambria" w:eastAsia="Cambria" w:cs="Cambria"/>
                <w:b w:val="0"/>
                <w:i w:val="0"/>
                <w:color w:val="2E3338"/>
                <w:sz w:val="24"/>
              </w:rPr>
              <w:t>Summary</w:t>
            </w:r>
          </w:p>
          <w:p>
            <w:pPr>
              <w:spacing w:before="0" w:after="40"/>
              <w:jc w:val="both"/>
            </w:pPr>
            <w:r>
              <w:rPr>
                <w:rFonts w:ascii="Calibri" w:hAnsi="Calibri" w:eastAsia="Calibri" w:cs="Calibri"/>
                <w:b w:val="0"/>
                <w:i w:val="0"/>
                <w:sz w:val="19"/>
              </w:rPr>
              <w:t xml:space="preserve">Helena advises contractors, employers and funders on major construction and infrastructure projects and the disputes that arise from them, in the English courts and in ICC, LCIA and ad hoc arbitrations. She is known for FIDIC and NEC disputes on transport and energy projects.</w:t>
            </w:r>
          </w:p>
          <w:p>
            <w:pPr>
              <w:keepNext/>
              <w:spacing w:before="200" w:after="100"/>
              <w:pBdr>
                <w:bottom w:val="single" w:sz="6" w:space="4" w:color="DFE0E1"/>
              </w:pBdr>
            </w:pPr>
            <w:r>
              <w:rPr>
                <w:rFonts w:ascii="Cambria" w:hAnsi="Cambria" w:eastAsia="Cambria" w:cs="Cambria"/>
                <w:b w:val="0"/>
                <w:i w:val="0"/>
                <w:color w:val="2E3338"/>
                <w:sz w:val="24"/>
              </w:rPr>
              <w:t>Representative matters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Acted for an international contractor in a US$420m ICC arbitration over delay and disruption on a metro project</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Advised a FTSE 100 client on the NEC4 suite for a £1.1bn water infrastructure programme</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Represented an employer in a TCC claim concerning defective façade works on a London tower</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Acted for a joint venture in an LCIA arbitration over a power-plant EPC contract</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Advised lenders on the construction package for an offshore wind financing</w:t>
            </w:r>
          </w:p>
          <w:p>
            <w:pPr>
              <w:keepNext/>
              <w:spacing w:before="200" w:after="100"/>
              <w:pBdr>
                <w:bottom w:val="single" w:sz="6" w:space="4" w:color="DFE0E1"/>
              </w:pBdr>
            </w:pPr>
            <w:r>
              <w:rPr>
                <w:rFonts w:ascii="Cambria" w:hAnsi="Cambria" w:eastAsia="Cambria" w:cs="Cambria"/>
                <w:b w:val="0"/>
                <w:i w:val="0"/>
                <w:color w:val="2E3338"/>
                <w:sz w:val="24"/>
              </w:rPr>
              <w:t>Rankings and recognition</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Ranked for Construction (London), leading UK legal directory, 2025 and 2026</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Construction Lawyer of the Year, regional legal awards (2024)</w:t>
            </w:r>
          </w:p>
          <w:p>
            <w:pPr>
              <w:keepNext/>
              <w:spacing w:before="200" w:after="100"/>
              <w:pBdr>
                <w:bottom w:val="single" w:sz="6" w:space="4" w:color="DFE0E1"/>
              </w:pBdr>
            </w:pPr>
            <w:r>
              <w:rPr>
                <w:rFonts w:ascii="Cambria" w:hAnsi="Cambria" w:eastAsia="Cambria" w:cs="Cambria"/>
                <w:b w:val="0"/>
                <w:i w:val="0"/>
                <w:color w:val="2E3338"/>
                <w:sz w:val="24"/>
              </w:rPr>
              <w:t>Publications and speaking</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“Time bars after the 2017 FIDIC suite”, construction law journal article (2024)</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Speaker, international construction disputes conference, Amsterdam (2025)</w:t>
            </w:r>
          </w:p>
          <w:p>
            <w:pPr>
              <w:spacing w:before="0" w:after="0" w:line="2" w:lineRule="exact"/>
            </w:pPr>
            <w:r>
              <w:rPr>
                <w:rFonts w:ascii="Calibri" w:hAnsi="Calibri" w:eastAsia="Calibri" w:cs="Calibri"/>
                <w:b w:val="0"/>
                <w:i w:val="0"/>
                <w:sz w:val="2"/>
              </w:rPr>
            </w:r>
          </w:p>
        </w:tc>
        <w:tc>
          <w:tcPr>
            <w:tcW w:type="dxa" w:w="340"/>
          </w:tcPr>
          <w:p/>
        </w:tc>
        <w:tc>
          <w:tcPr>
            <w:tcW w:type="dxa" w:w="3118"/>
            <w:vAlign w:val="top"/>
            <w:shd w:val="clear" w:color="auto" w:fill="F1F2F3"/>
            <w:tcMar>
              <w:top w:w="160" w:type="dxa"/>
              <w:left w:w="220" w:type="dxa"/>
              <w:bottom w:w="200" w:type="dxa"/>
              <w:right w:w="200" w:type="dxa"/>
            </w:tcMar>
          </w:tcPr>
          <w:p>
            <w:pPr>
              <w:spacing w:before="0" w:after="0" w:line="20" w:lineRule="exact"/>
            </w:pPr>
            <w:r>
              <w:rPr>
                <w:rFonts w:ascii="Calibri" w:hAnsi="Calibri" w:eastAsia="Calibri" w:cs="Calibri"/>
                <w:b w:val="0"/>
                <w:i w:val="0"/>
                <w:sz w:val="2"/>
              </w:rPr>
            </w:r>
          </w:p>
          <w:p>
            <w:pPr>
              <w:spacing w:before="0" w:after="60"/>
            </w:pPr>
            <w:r>
              <w:rPr>
                <w:rFonts w:ascii="Calibri" w:hAnsi="Calibri" w:eastAsia="Calibri" w:cs="Calibri"/>
                <w:b/>
                <w:i w:val="0"/>
                <w:caps/>
                <w:color w:val="5F6B77"/>
                <w:sz w:val="14"/>
                <w:spacing w:val="30"/>
              </w:rPr>
              <w:t>Admissions and qualifications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Solicitor, England and Wales (2008)</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Solicitor Advocate (Higher Courts, Civil) (2014)</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Advocaat, Netherlands (2005)</w:t>
            </w:r>
          </w:p>
          <w:p>
            <w:pPr>
              <w:spacing w:before="200" w:after="60"/>
            </w:pPr>
            <w:r>
              <w:rPr>
                <w:rFonts w:ascii="Calibri" w:hAnsi="Calibri" w:eastAsia="Calibri" w:cs="Calibri"/>
                <w:b/>
                <w:i w:val="0"/>
                <w:caps/>
                <w:color w:val="5F6B77"/>
                <w:sz w:val="14"/>
                <w:spacing w:val="30"/>
              </w:rPr>
              <w:t>Education</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LLM, International Dispute Resolution, King’s College London</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Meester in de Rechten, Leiden University</w:t>
            </w:r>
          </w:p>
          <w:p>
            <w:pPr>
              <w:spacing w:before="200" w:after="60"/>
            </w:pPr>
            <w:r>
              <w:rPr>
                <w:rFonts w:ascii="Calibri" w:hAnsi="Calibri" w:eastAsia="Calibri" w:cs="Calibri"/>
                <w:b/>
                <w:i w:val="0"/>
                <w:caps/>
                <w:color w:val="5F6B77"/>
                <w:sz w:val="14"/>
                <w:spacing w:val="30"/>
              </w:rPr>
              <w:t>Languages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English</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Dutch</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German</w:t>
            </w:r>
          </w:p>
          <w:p>
            <w:pPr>
              <w:spacing w:before="200" w:after="60"/>
            </w:pPr>
            <w:r>
              <w:rPr>
                <w:rFonts w:ascii="Calibri" w:hAnsi="Calibri" w:eastAsia="Calibri" w:cs="Calibri"/>
                <w:b/>
                <w:i w:val="0"/>
                <w:caps/>
                <w:color w:val="5F6B77"/>
                <w:sz w:val="14"/>
                <w:spacing w:val="30"/>
              </w:rPr>
              <w:t>Memberships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Society of Construction Law</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ICC Commission on Arbitration and ADR</w:t>
            </w:r>
          </w:p>
          <w:p>
            <w:pPr>
              <w:spacing w:before="0" w:after="0" w:line="2" w:lineRule="exact"/>
            </w:pPr>
            <w:r>
              <w:rPr>
                <w:rFonts w:ascii="Calibri" w:hAnsi="Calibri" w:eastAsia="Calibri" w:cs="Calibri"/>
                <w:b w:val="0"/>
                <w:i w:val="0"/>
                <w:sz w:val="2"/>
              </w:rPr>
            </w:r>
          </w:p>
        </w:tc>
      </w:tr>
    </w:tbl>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324"/>
        <w:gridCol w:w="7542"/>
      </w:tblGrid>
      <w:tr>
        <w:tc>
          <w:tcPr>
            <w:tcW w:type="dxa" w:w="2324"/>
            <w:vAlign w:val="center"/>
            <w:tcMar>
              <w:top w:w="0" w:type="dxa"/>
              <w:left w:w="0" w:type="dxa"/>
              <w:bottom w:w="0" w:type="dxa"/>
              <w:right w:w="200" w:type="dxa"/>
            </w:tcMar>
          </w:tcPr>
          <w:p>
            <w:pPr>
              <w:spacing w:before="0" w:after="0" w:line="240" w:lineRule="auto"/>
              <w:jc w:val="left"/>
              <w:rPr>
                <w:sz w:val="2"/>
              </w:rPr>
            </w:pPr>
            <w:r>
              <w:drawing>
                <wp:inline distT="0" distB="0" distL="0" distR="0">
                  <wp:extent cx="1296000" cy="1080000"/>
                  <wp:effectExtent l="0" t="0" r="0" b="0"/>
                  <wp:docPr id="1003" name="Candidate photo frame 7701"/>
                  <wp:cNvGraphicFramePr/>
                  <a:graphic xmlns:a="http://schemas.openxmlformats.org/drawingml/2006/main">
                    <a:graphicData uri="http://schemas.microsoft.com/office/word/2010/wordprocessingShape">
                      <wps:wsp>
                        <wps:cNvSpPr txBox="1"/>
                        <wps:spPr>
                          <a:xfrm>
                            <a:off x="0" y="0"/>
                            <a:ext cx="1296000" cy="1080000"/>
                          </a:xfrm>
                          <a:prstGeom prst="rect">
                            <a:avLst/>
                          </a:prstGeom>
                          <a:noFill/>
                          <a:ln>
                            <a:noFill/>
                          </a:ln>
                        </wps:spPr>
                        <wps:txbx>
                          <w:txbxContent>
                            <w:p>
                              <w:pPr>
                                <w:spacing w:before="0" w:after="0" w:line="240" w:lineRule="auto"/>
                                <w:jc w:val="left"/>
                                <w:rPr>
                                  <w:sz w:val="2"/>
                                </w:rPr>
                              </w:pPr>
                              <w:r>
                                <w:rPr>
                                  <w:sz w:val="2"/>
                                </w:rPr>
                                <w:t xml:space="preserve"/>
                              </w:r>
                              <w:r>
                                <w:drawing>
                                  <wp:inline xmlns:pic="http://schemas.openxmlformats.org/drawingml/2006/picture">
                                    <wp:extent cx="1080000" cy="1080000"/>
                                    <wp:docPr id="1004" name="Picture 7702"/>
                                    <wp:cNvGraphicFramePr>
                                      <a:graphicFrameLocks noChangeAspect="1"/>
                                    </wp:cNvGraphicFramePr>
                                    <a:graphic>
                                      <a:graphicData uri="http://schemas.openxmlformats.org/drawingml/2006/picture">
                                        <pic:pic>
                                          <pic:nvPicPr>
                                            <pic:cNvPr id="0" name="marcus-oyelaran-round.png"/>
                                            <pic:cNvPicPr/>
                                          </pic:nvPicPr>
                                          <pic:blipFill>
                                            <a:blip r:embed="rId12"/>
                                            <a:stretch>
                                              <a:fillRect/>
                                            </a:stretch>
                                          </pic:blipFill>
                                          <pic:spPr>
                                            <a:xfrm>
                                              <a:off x="0" y="0"/>
                                              <a:ext cx="1080000" cy="1080000"/>
                                            </a:xfrm>
                                            <a:prstGeom prst="rect"/>
                                          </pic:spPr>
                                        </pic:pic>
                                      </a:graphicData>
                                    </a:graphic>
                                  </wp:inline>
                                </w:drawing>
                              </w:r>
                              <w:r>
                                <w:t xml:space="preserve"/>
                              </w:r>
                            </w:p>
                          </w:txbxContent>
                        </wps:txbx>
                        <wps:bodyPr rot="0" vert="horz" wrap="square" lIns="0" tIns="0" rIns="0" bIns="0" anchor="t" anchorCtr="0">
                          <a:noAutofit/>
                        </wps:bodyPr>
                      </wps:wsp>
                    </a:graphicData>
                  </a:graphic>
                </wp:inline>
              </w:drawing>
            </w:r>
          </w:p>
        </w:tc>
        <w:tc>
          <w:tcPr>
            <w:tcW w:type="dxa" w:w="7542"/>
            <w:vAlign w:val="center"/>
            <w:tcMar>
              <w:top w:w="0" w:type="dxa"/>
              <w:left w:w="200" w:type="dxa"/>
              <w:bottom w:w="0" w:type="dxa"/>
              <w:right w:w="0" w:type="dxa"/>
            </w:tcMar>
          </w:tcPr>
          <w:p>
            <w:pPr>
              <w:spacing w:before="0" w:after="40"/>
            </w:pPr>
            <w:r>
              <w:rPr>
                <w:rFonts w:ascii="Calibri" w:hAnsi="Calibri" w:eastAsia="Calibri" w:cs="Calibri"/>
                <w:b/>
                <w:i w:val="0"/>
                <w:caps/>
                <w:color w:val="5F6B77"/>
                <w:sz w:val="15"/>
                <w:spacing w:val="30"/>
              </w:rPr>
              <w:t xml:space="preserve">London</w:t>
            </w:r>
          </w:p>
          <w:p>
            <w:pPr>
              <w:spacing w:before="0" w:after="40"/>
            </w:pPr>
            <w:r>
              <w:rPr>
                <w:rFonts w:ascii="Cambria" w:hAnsi="Cambria" w:eastAsia="Cambria" w:cs="Cambria"/>
                <w:b w:val="0"/>
                <w:i w:val="0"/>
                <w:color w:val="2E3338"/>
                <w:sz w:val="48"/>
              </w:rPr>
              <w:t xml:space="preserve">Marcus Oyelaran</w:t>
            </w:r>
          </w:p>
          <w:p>
            <w:pPr>
              <w:spacing w:before="0" w:after="80"/>
            </w:pPr>
            <w:r>
              <w:rPr>
                <w:rFonts w:ascii="Calibri" w:hAnsi="Calibri" w:eastAsia="Calibri" w:cs="Calibri"/>
                <w:b/>
                <w:i w:val="0"/>
                <w:color w:val="5F6B77"/>
                <w:sz w:val="22"/>
              </w:rPr>
              <w:t xml:space="preserve">Counsel</w:t>
            </w:r>
            <w:r>
              <w:rPr>
                <w:rFonts w:ascii="Calibri" w:hAnsi="Calibri" w:eastAsia="Calibri" w:cs="Calibri"/>
                <w:b w:val="0"/>
                <w:i w:val="0"/>
                <w:color w:val="6B6D70"/>
                <w:sz w:val="20"/>
              </w:rPr>
              <w:t xml:space="preserve">   ·   Ashbury &amp; Vale LLP</w:t>
            </w:r>
          </w:p>
          <w:p>
            <w:pPr>
              <w:spacing w:before="0" w:after="0"/>
              <w:pBdr>
                <w:top w:val="single" w:sz="6" w:space="4" w:color="DFE0E1"/>
              </w:pBdr>
            </w:pPr>
            <w:r>
              <w:rPr>
                <w:rFonts w:ascii="Calibri" w:hAnsi="Calibri" w:eastAsia="Calibri" w:cs="Calibri"/>
                <w:b w:val="0"/>
                <w:i w:val="0"/>
                <w:color w:val="2E3338"/>
                <w:sz w:val="19"/>
              </w:rPr>
              <w:t xml:space="preserve">Construction &amp; Engineering   ·   Projects</w:t>
            </w:r>
          </w:p>
        </w:tc>
      </w:tr>
    </w:tbl>
    <w:p>
      <w:pPr>
        <w:spacing w:before="0" w:after="0" w:line="20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6408"/>
        <w:gridCol w:w="340"/>
        <w:gridCol w:w="3118"/>
      </w:tblGrid>
      <w:tr>
        <w:tc>
          <w:tcPr>
            <w:tcW w:type="dxa" w:w="6408"/>
            <w:vAlign w:val="top"/>
          </w:tcPr>
          <w:p>
            <w:pPr>
              <w:spacing w:before="0" w:after="0" w:line="20" w:lineRule="exact"/>
            </w:pPr>
            <w:r>
              <w:rPr>
                <w:rFonts w:ascii="Calibri" w:hAnsi="Calibri" w:eastAsia="Calibri" w:cs="Calibri"/>
                <w:b w:val="0"/>
                <w:i w:val="0"/>
                <w:sz w:val="2"/>
              </w:rPr>
            </w:r>
          </w:p>
          <w:p>
            <w:pPr>
              <w:keepNext/>
              <w:spacing w:before="0" w:after="100"/>
              <w:pBdr>
                <w:bottom w:val="single" w:sz="6" w:space="4" w:color="DFE0E1"/>
              </w:pBdr>
            </w:pPr>
            <w:r>
              <w:rPr>
                <w:rFonts w:ascii="Cambria" w:hAnsi="Cambria" w:eastAsia="Cambria" w:cs="Cambria"/>
                <w:b w:val="0"/>
                <w:i w:val="0"/>
                <w:color w:val="2E3338"/>
                <w:sz w:val="24"/>
              </w:rPr>
              <w:t>Summary</w:t>
            </w:r>
          </w:p>
          <w:p>
            <w:pPr>
              <w:spacing w:before="0" w:after="40"/>
              <w:jc w:val="both"/>
            </w:pPr>
            <w:r>
              <w:rPr>
                <w:rFonts w:ascii="Calibri" w:hAnsi="Calibri" w:eastAsia="Calibri" w:cs="Calibri"/>
                <w:b w:val="0"/>
                <w:i w:val="0"/>
                <w:sz w:val="19"/>
              </w:rPr>
              <w:t xml:space="preserve">Marcus advises on construction contracts and disputes for developers and contractors.</w:t>
            </w:r>
          </w:p>
          <w:p>
            <w:pPr>
              <w:keepNext/>
              <w:spacing w:before="200" w:after="100"/>
              <w:pBdr>
                <w:bottom w:val="single" w:sz="6" w:space="4" w:color="DFE0E1"/>
              </w:pBdr>
            </w:pPr>
            <w:r>
              <w:rPr>
                <w:rFonts w:ascii="Cambria" w:hAnsi="Cambria" w:eastAsia="Cambria" w:cs="Cambria"/>
                <w:b w:val="0"/>
                <w:i w:val="0"/>
                <w:color w:val="2E3338"/>
                <w:sz w:val="24"/>
              </w:rPr>
              <w:t>Representative matters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Acted for a developer on adjudications under a JCT design and build contract</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Advised a contractor on the termination of a hospital PFI subcontract</w:t>
            </w:r>
          </w:p>
          <w:p>
            <w:pPr>
              <w:spacing w:before="0" w:after="0" w:line="2" w:lineRule="exact"/>
            </w:pPr>
            <w:r>
              <w:rPr>
                <w:rFonts w:ascii="Calibri" w:hAnsi="Calibri" w:eastAsia="Calibri" w:cs="Calibri"/>
                <w:b w:val="0"/>
                <w:i w:val="0"/>
                <w:sz w:val="2"/>
              </w:rPr>
            </w:r>
          </w:p>
        </w:tc>
        <w:tc>
          <w:tcPr>
            <w:tcW w:type="dxa" w:w="340"/>
          </w:tcPr>
          <w:p/>
        </w:tc>
        <w:tc>
          <w:tcPr>
            <w:tcW w:type="dxa" w:w="3118"/>
            <w:vAlign w:val="top"/>
            <w:shd w:val="clear" w:color="auto" w:fill="F1F2F3"/>
            <w:tcMar>
              <w:top w:w="160" w:type="dxa"/>
              <w:left w:w="220" w:type="dxa"/>
              <w:bottom w:w="200" w:type="dxa"/>
              <w:right w:w="200" w:type="dxa"/>
            </w:tcMar>
          </w:tcPr>
          <w:p>
            <w:pPr>
              <w:spacing w:before="0" w:after="0" w:line="20" w:lineRule="exact"/>
            </w:pPr>
            <w:r>
              <w:rPr>
                <w:rFonts w:ascii="Calibri" w:hAnsi="Calibri" w:eastAsia="Calibri" w:cs="Calibri"/>
                <w:b w:val="0"/>
                <w:i w:val="0"/>
                <w:sz w:val="2"/>
              </w:rPr>
            </w:r>
          </w:p>
          <w:p>
            <w:pPr>
              <w:spacing w:before="0" w:after="60"/>
            </w:pPr>
            <w:r>
              <w:rPr>
                <w:rFonts w:ascii="Calibri" w:hAnsi="Calibri" w:eastAsia="Calibri" w:cs="Calibri"/>
                <w:b/>
                <w:i w:val="0"/>
                <w:caps/>
                <w:color w:val="5F6B77"/>
                <w:sz w:val="14"/>
                <w:spacing w:val="30"/>
              </w:rPr>
              <w:t>Admissions and qualifications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Solicitor, England and Wales (2013)</w:t>
            </w:r>
          </w:p>
          <w:p>
            <w:pPr>
              <w:spacing w:before="200" w:after="60"/>
            </w:pPr>
            <w:r>
              <w:rPr>
                <w:rFonts w:ascii="Calibri" w:hAnsi="Calibri" w:eastAsia="Calibri" w:cs="Calibri"/>
                <w:b/>
                <w:i w:val="0"/>
                <w:caps/>
                <w:color w:val="5F6B77"/>
                <w:sz w:val="14"/>
                <w:spacing w:val="30"/>
              </w:rPr>
              <w:t>Education</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LLB (Hons), University of Bristol</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Legal Practice Course, University of Law</w:t>
            </w:r>
          </w:p>
          <w:p>
            <w:pPr>
              <w:spacing w:before="200" w:after="60"/>
            </w:pPr>
            <w:r>
              <w:rPr>
                <w:rFonts w:ascii="Calibri" w:hAnsi="Calibri" w:eastAsia="Calibri" w:cs="Calibri"/>
                <w:b/>
                <w:i w:val="0"/>
                <w:caps/>
                <w:color w:val="5F6B77"/>
                <w:sz w:val="14"/>
                <w:spacing w:val="30"/>
              </w:rPr>
              <w:t>Languages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English</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Yoruba</w:t>
            </w:r>
          </w:p>
          <w:p>
            <w:pPr>
              <w:spacing w:before="200" w:after="60"/>
            </w:pPr>
            <w:r>
              <w:rPr>
                <w:rFonts w:ascii="Calibri" w:hAnsi="Calibri" w:eastAsia="Calibri" w:cs="Calibri"/>
                <w:b/>
                <w:i w:val="0"/>
                <w:caps/>
                <w:color w:val="5F6B77"/>
                <w:sz w:val="14"/>
                <w:spacing w:val="30"/>
              </w:rPr>
              <w:t>Memberships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Society of Construction Law</w:t>
            </w:r>
          </w:p>
          <w:p>
            <w:pPr>
              <w:spacing w:before="0" w:after="0" w:line="2" w:lineRule="exact"/>
            </w:pPr>
            <w:r>
              <w:rPr>
                <w:rFonts w:ascii="Calibri" w:hAnsi="Calibri" w:eastAsia="Calibri" w:cs="Calibri"/>
                <w:b w:val="0"/>
                <w:i w:val="0"/>
                <w:sz w:val="2"/>
              </w:rPr>
            </w:r>
          </w:p>
        </w:tc>
      </w:tr>
    </w:tbl>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324"/>
        <w:gridCol w:w="7542"/>
      </w:tblGrid>
      <w:tr>
        <w:tc>
          <w:tcPr>
            <w:tcW w:type="dxa" w:w="2324"/>
            <w:vAlign w:val="center"/>
            <w:tcMar>
              <w:top w:w="0" w:type="dxa"/>
              <w:left w:w="0" w:type="dxa"/>
              <w:bottom w:w="0" w:type="dxa"/>
              <w:right w:w="200" w:type="dxa"/>
            </w:tcMar>
          </w:tcPr>
          <w:p>
            <w:pPr>
              <w:spacing w:before="0" w:after="0" w:line="240" w:lineRule="auto"/>
              <w:jc w:val="left"/>
              <w:rPr>
                <w:sz w:val="2"/>
              </w:rPr>
            </w:pPr>
            <w:r>
              <w:drawing>
                <wp:inline distT="0" distB="0" distL="0" distR="0">
                  <wp:extent cx="1296000" cy="1080000"/>
                  <wp:effectExtent l="0" t="0" r="0" b="0"/>
                  <wp:docPr id="1005" name="Candidate photo frame 7701"/>
                  <wp:cNvGraphicFramePr/>
                  <a:graphic xmlns:a="http://schemas.openxmlformats.org/drawingml/2006/main">
                    <a:graphicData uri="http://schemas.microsoft.com/office/word/2010/wordprocessingShape">
                      <wps:wsp>
                        <wps:cNvSpPr txBox="1"/>
                        <wps:spPr>
                          <a:xfrm>
                            <a:off x="0" y="0"/>
                            <a:ext cx="1296000" cy="1080000"/>
                          </a:xfrm>
                          <a:prstGeom prst="rect">
                            <a:avLst/>
                          </a:prstGeom>
                          <a:noFill/>
                          <a:ln>
                            <a:noFill/>
                          </a:ln>
                        </wps:spPr>
                        <wps:txbx>
                          <w:txbxContent>
                            <w:p>
                              <w:pPr>
                                <w:spacing w:before="0" w:after="0" w:line="240" w:lineRule="auto"/>
                                <w:jc w:val="left"/>
                                <w:rPr>
                                  <w:sz w:val="2"/>
                                </w:rPr>
                              </w:pPr>
                              <w:r>
                                <w:rPr>
                                  <w:sz w:val="2"/>
                                </w:rPr>
                                <w:t xml:space="preserve"/>
                              </w:r>
                              <w:r>
                                <w:drawing>
                                  <wp:inline xmlns:pic="http://schemas.openxmlformats.org/drawingml/2006/picture">
                                    <wp:extent cx="1080000" cy="1080000"/>
                                    <wp:docPr id="1006" name="Picture 7702"/>
                                    <wp:cNvGraphicFramePr>
                                      <a:graphicFrameLocks noChangeAspect="1"/>
                                    </wp:cNvGraphicFramePr>
                                    <a:graphic>
                                      <a:graphicData uri="http://schemas.openxmlformats.org/drawingml/2006/picture">
                                        <pic:pic>
                                          <pic:nvPicPr>
                                            <pic:cNvPr id="0" name="sofia-lindqvist-round.png"/>
                                            <pic:cNvPicPr/>
                                          </pic:nvPicPr>
                                          <pic:blipFill>
                                            <a:blip r:embed="rId13"/>
                                            <a:stretch>
                                              <a:fillRect/>
                                            </a:stretch>
                                          </pic:blipFill>
                                          <pic:spPr>
                                            <a:xfrm>
                                              <a:off x="0" y="0"/>
                                              <a:ext cx="1080000" cy="1080000"/>
                                            </a:xfrm>
                                            <a:prstGeom prst="rect"/>
                                          </pic:spPr>
                                        </pic:pic>
                                      </a:graphicData>
                                    </a:graphic>
                                  </wp:inline>
                                </w:drawing>
                              </w:r>
                              <w:r>
                                <w:t xml:space="preserve"/>
                              </w:r>
                            </w:p>
                          </w:txbxContent>
                        </wps:txbx>
                        <wps:bodyPr rot="0" vert="horz" wrap="square" lIns="0" tIns="0" rIns="0" bIns="0" anchor="t" anchorCtr="0">
                          <a:noAutofit/>
                        </wps:bodyPr>
                      </wps:wsp>
                    </a:graphicData>
                  </a:graphic>
                </wp:inline>
              </w:drawing>
            </w:r>
          </w:p>
        </w:tc>
        <w:tc>
          <w:tcPr>
            <w:tcW w:type="dxa" w:w="7542"/>
            <w:vAlign w:val="center"/>
            <w:tcMar>
              <w:top w:w="0" w:type="dxa"/>
              <w:left w:w="200" w:type="dxa"/>
              <w:bottom w:w="0" w:type="dxa"/>
              <w:right w:w="0" w:type="dxa"/>
            </w:tcMar>
          </w:tcPr>
          <w:p>
            <w:pPr>
              <w:spacing w:before="0" w:after="40"/>
            </w:pPr>
            <w:r>
              <w:rPr>
                <w:rFonts w:ascii="Calibri" w:hAnsi="Calibri" w:eastAsia="Calibri" w:cs="Calibri"/>
                <w:b/>
                <w:i w:val="0"/>
                <w:caps/>
                <w:color w:val="5F6B77"/>
                <w:sz w:val="15"/>
                <w:spacing w:val="30"/>
              </w:rPr>
              <w:t xml:space="preserve">Stockholm</w:t>
            </w:r>
          </w:p>
          <w:p>
            <w:pPr>
              <w:spacing w:before="0" w:after="40"/>
            </w:pPr>
            <w:r>
              <w:rPr>
                <w:rFonts w:ascii="Cambria" w:hAnsi="Cambria" w:eastAsia="Cambria" w:cs="Cambria"/>
                <w:b w:val="0"/>
                <w:i w:val="0"/>
                <w:color w:val="2E3338"/>
                <w:sz w:val="48"/>
              </w:rPr>
              <w:t xml:space="preserve">Sofia Lindqvist</w:t>
            </w:r>
          </w:p>
          <w:p>
            <w:pPr>
              <w:spacing w:before="0" w:after="80"/>
            </w:pPr>
            <w:r>
              <w:rPr>
                <w:rFonts w:ascii="Calibri" w:hAnsi="Calibri" w:eastAsia="Calibri" w:cs="Calibri"/>
                <w:b/>
                <w:i w:val="0"/>
                <w:color w:val="5F6B77"/>
                <w:sz w:val="22"/>
              </w:rPr>
              <w:t xml:space="preserve">Senior Associate</w:t>
            </w:r>
            <w:r>
              <w:rPr>
                <w:rFonts w:ascii="Calibri" w:hAnsi="Calibri" w:eastAsia="Calibri" w:cs="Calibri"/>
                <w:b w:val="0"/>
                <w:i w:val="0"/>
                <w:color w:val="6B6D70"/>
                <w:sz w:val="20"/>
              </w:rPr>
              <w:t xml:space="preserve">   ·   Ashbury &amp; Vale LLP</w:t>
            </w:r>
          </w:p>
          <w:p>
            <w:pPr>
              <w:spacing w:before="0" w:after="0"/>
              <w:pBdr>
                <w:top w:val="single" w:sz="6" w:space="4" w:color="DFE0E1"/>
              </w:pBdr>
            </w:pPr>
            <w:r>
              <w:rPr>
                <w:rFonts w:ascii="Calibri" w:hAnsi="Calibri" w:eastAsia="Calibri" w:cs="Calibri"/>
                <w:b w:val="0"/>
                <w:i w:val="0"/>
                <w:color w:val="2E3338"/>
                <w:sz w:val="19"/>
              </w:rPr>
              <w:t xml:space="preserve">International Arbitration</w:t>
            </w:r>
          </w:p>
        </w:tc>
      </w:tr>
    </w:tbl>
    <w:p>
      <w:pPr>
        <w:spacing w:before="0" w:after="0" w:line="20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6408"/>
        <w:gridCol w:w="340"/>
        <w:gridCol w:w="3118"/>
      </w:tblGrid>
      <w:tr>
        <w:tc>
          <w:tcPr>
            <w:tcW w:type="dxa" w:w="6408"/>
            <w:vAlign w:val="top"/>
          </w:tcPr>
          <w:p>
            <w:pPr>
              <w:spacing w:before="0" w:after="0" w:line="20" w:lineRule="exact"/>
            </w:pPr>
            <w:r>
              <w:rPr>
                <w:rFonts w:ascii="Calibri" w:hAnsi="Calibri" w:eastAsia="Calibri" w:cs="Calibri"/>
                <w:b w:val="0"/>
                <w:i w:val="0"/>
                <w:sz w:val="2"/>
              </w:rPr>
            </w:r>
          </w:p>
          <w:p>
            <w:pPr>
              <w:keepNext/>
              <w:spacing w:before="0" w:after="100"/>
              <w:pBdr>
                <w:bottom w:val="single" w:sz="6" w:space="4" w:color="DFE0E1"/>
              </w:pBdr>
            </w:pPr>
            <w:r>
              <w:rPr>
                <w:rFonts w:ascii="Cambria" w:hAnsi="Cambria" w:eastAsia="Cambria" w:cs="Cambria"/>
                <w:b w:val="0"/>
                <w:i w:val="0"/>
                <w:color w:val="2E3338"/>
                <w:sz w:val="24"/>
              </w:rPr>
              <w:t>Summary</w:t>
            </w:r>
          </w:p>
          <w:p>
            <w:pPr>
              <w:spacing w:before="0" w:after="40"/>
              <w:jc w:val="both"/>
            </w:pPr>
            <w:r>
              <w:rPr>
                <w:rFonts w:ascii="Calibri" w:hAnsi="Calibri" w:eastAsia="Calibri" w:cs="Calibri"/>
                <w:b w:val="0"/>
                <w:i w:val="0"/>
                <w:sz w:val="19"/>
              </w:rPr>
              <w:t xml:space="preserve">Sofia acts in SCC and ICC arbitrations for energy and construction clients.</w:t>
            </w:r>
          </w:p>
          <w:p>
            <w:pPr>
              <w:keepNext/>
              <w:spacing w:before="200" w:after="100"/>
              <w:pBdr>
                <w:bottom w:val="single" w:sz="6" w:space="4" w:color="DFE0E1"/>
              </w:pBdr>
            </w:pPr>
            <w:r>
              <w:rPr>
                <w:rFonts w:ascii="Cambria" w:hAnsi="Cambria" w:eastAsia="Cambria" w:cs="Cambria"/>
                <w:b w:val="0"/>
                <w:i w:val="0"/>
                <w:color w:val="2E3338"/>
                <w:sz w:val="24"/>
              </w:rPr>
              <w:t>Representative matters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Acted for a utility in an SCC arbitration over a hydropower refurbishment contract</w:t>
            </w:r>
          </w:p>
          <w:p>
            <w:pPr>
              <w:spacing w:before="0" w:after="0" w:line="2" w:lineRule="exact"/>
            </w:pPr>
            <w:r>
              <w:rPr>
                <w:rFonts w:ascii="Calibri" w:hAnsi="Calibri" w:eastAsia="Calibri" w:cs="Calibri"/>
                <w:b w:val="0"/>
                <w:i w:val="0"/>
                <w:sz w:val="2"/>
              </w:rPr>
            </w:r>
          </w:p>
        </w:tc>
        <w:tc>
          <w:tcPr>
            <w:tcW w:type="dxa" w:w="340"/>
          </w:tcPr>
          <w:p/>
        </w:tc>
        <w:tc>
          <w:tcPr>
            <w:tcW w:type="dxa" w:w="3118"/>
            <w:vAlign w:val="top"/>
            <w:shd w:val="clear" w:color="auto" w:fill="F1F2F3"/>
            <w:tcMar>
              <w:top w:w="160" w:type="dxa"/>
              <w:left w:w="220" w:type="dxa"/>
              <w:bottom w:w="200" w:type="dxa"/>
              <w:right w:w="200" w:type="dxa"/>
            </w:tcMar>
          </w:tcPr>
          <w:p>
            <w:pPr>
              <w:spacing w:before="0" w:after="0" w:line="20" w:lineRule="exact"/>
            </w:pPr>
            <w:r>
              <w:rPr>
                <w:rFonts w:ascii="Calibri" w:hAnsi="Calibri" w:eastAsia="Calibri" w:cs="Calibri"/>
                <w:b w:val="0"/>
                <w:i w:val="0"/>
                <w:sz w:val="2"/>
              </w:rPr>
            </w:r>
          </w:p>
          <w:p>
            <w:pPr>
              <w:spacing w:before="0" w:after="60"/>
            </w:pPr>
            <w:r>
              <w:rPr>
                <w:rFonts w:ascii="Calibri" w:hAnsi="Calibri" w:eastAsia="Calibri" w:cs="Calibri"/>
                <w:b/>
                <w:i w:val="0"/>
                <w:caps/>
                <w:color w:val="5F6B77"/>
                <w:sz w:val="14"/>
                <w:spacing w:val="30"/>
              </w:rPr>
              <w:t>Admissions and qualifications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Advokat, Sweden (2016)</w:t>
            </w:r>
          </w:p>
          <w:p>
            <w:pPr>
              <w:spacing w:before="200" w:after="60"/>
            </w:pPr>
            <w:r>
              <w:rPr>
                <w:rFonts w:ascii="Calibri" w:hAnsi="Calibri" w:eastAsia="Calibri" w:cs="Calibri"/>
                <w:b/>
                <w:i w:val="0"/>
                <w:caps/>
                <w:color w:val="5F6B77"/>
                <w:sz w:val="14"/>
                <w:spacing w:val="30"/>
              </w:rPr>
              <w:t>Education</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LLM, Stockholm University</w:t>
            </w:r>
          </w:p>
          <w:p>
            <w:pPr>
              <w:spacing w:before="200" w:after="60"/>
            </w:pPr>
            <w:r>
              <w:rPr>
                <w:rFonts w:ascii="Calibri" w:hAnsi="Calibri" w:eastAsia="Calibri" w:cs="Calibri"/>
                <w:b/>
                <w:i w:val="0"/>
                <w:caps/>
                <w:color w:val="5F6B77"/>
                <w:sz w:val="14"/>
                <w:spacing w:val="30"/>
              </w:rPr>
              <w:t>Languages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Swedish</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English</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French</w:t>
            </w:r>
          </w:p>
          <w:p>
            <w:pPr>
              <w:spacing w:before="0" w:after="0" w:line="2" w:lineRule="exact"/>
            </w:pPr>
            <w:r>
              <w:rPr>
                <w:rFonts w:ascii="Calibri" w:hAnsi="Calibri" w:eastAsia="Calibri" w:cs="Calibri"/>
                <w:b w:val="0"/>
                <w:i w:val="0"/>
                <w:sz w:val="2"/>
              </w:rPr>
            </w:r>
          </w:p>
        </w:tc>
      </w:tr>
    </w:tbl>
    <w:p>
      <w:pPr>
        <w:spacing w:before="0" w:after="0" w:line="2" w:lineRule="exact"/>
      </w:pPr>
      <w:r>
        <w:rPr>
          <w:rFonts w:ascii="Calibri" w:hAnsi="Calibri" w:eastAsia="Calibri" w:cs="Calibri"/>
          <w:b w:val="0"/>
          <w:i w:val="0"/>
          <w:sz w:val="2"/>
        </w:rPr>
      </w:r>
    </w:p>
    <w:sectPr w:rsidR="00FC693F" w:rsidRPr="0006063C" w:rsidSect="00034616">
      <w:headerReference w:type="default" r:id="rId9"/>
      <w:footerReference w:type="default" r:id="rId10"/>
      <w:pgSz w:w="11906" w:h="16838"/>
      <w:pgMar w:top="964" w:right="1020" w:bottom="850" w:left="1020" w:header="397"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space="6" w:color="DFE0E1"/>
      </w:pBdr>
    </w:pPr>
    <w:r/>
    <w:r>
      <w:rPr>
        <w:rFonts w:ascii="Calibri" w:hAnsi="Calibri" w:eastAsia="Calibri" w:cs="Calibri"/>
        <w:b w:val="0"/>
        <w:i w:val="0"/>
        <w:color w:val="6B6D70"/>
        <w:sz w:val="14"/>
      </w:rPr>
      <w:t>Confidential: prepared for the client named in this proposal.</w:t>
    </w:r>
  </w:p>
  <w:p>
    <w:pPr>
      <w:tabs>
        <w:tab w:pos="9866" w:val="right"/>
      </w:tabs>
      <w:spacing w:before="40" w:after="0"/>
    </w:pPr>
    <w:r>
      <w:rPr>
        <w:rFonts w:ascii="Calibri" w:hAnsi="Calibri" w:eastAsia="Calibri" w:cs="Calibri"/>
        <w:b w:val="0"/>
        <w:i w:val="0"/>
        <w:color w:val="6B6D70"/>
        <w:sz w:val="14"/>
      </w:rPr>
      <w:t>Template by Formatix.AI — formatix.ai/templates</w:t>
    </w:r>
    <w:r>
      <w:rPr>
        <w:rFonts w:ascii="Calibri" w:hAnsi="Calibri" w:eastAsia="Calibri" w:cs="Calibri"/>
        <w:b w:val="0"/>
        <w:i w:val="0"/>
        <w:sz w:val="14"/>
      </w:rPr>
      <w:tab/>
    </w:r>
    <w:r>
      <w:rPr>
        <w:rFonts w:ascii="Calibri" w:hAnsi="Calibri" w:eastAsia="Calibri" w:cs="Calibri"/>
        <w:b w:val="0"/>
        <w:i w:val="0"/>
        <w:color w:val="6B6D70"/>
        <w:sz w:val="14"/>
      </w:rPr>
      <w:t xml:space="preserve">Page </w:t>
    </w:r>
    <w:r>
      <w:rPr>
        <w:rFonts w:ascii="Calibri" w:hAnsi="Calibri"/>
        <w:color w:val="6B6D70"/>
        <w:sz w:val="14"/>
      </w:rPr>
      <w:fldChar w:fldCharType="begin"/>
      <w:instrText xml:space="preserve"> PAGE </w:instrText>
      <w:fldChar w:fldCharType="separate"/>
      <w:t>1</w:t>
      <w:fldChar w:fldCharType="end"/>
    </w:r>
    <w:r>
      <w:rPr>
        <w:rFonts w:ascii="Calibri" w:hAnsi="Calibri" w:eastAsia="Calibri" w:cs="Calibri"/>
        <w:b w:val="0"/>
        <w:i w:val="0"/>
        <w:color w:val="6B6D70"/>
        <w:sz w:val="14"/>
      </w:rPr>
      <w:t xml:space="preserve"> of </w:t>
    </w:r>
    <w:r>
      <w:rPr>
        <w:rFonts w:ascii="Calibri" w:hAnsi="Calibri"/>
        <w:color w:val="6B6D70"/>
        <w:sz w:val="14"/>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866" w:val="right"/>
      </w:tabs>
      <w:pBdr>
        <w:bottom w:val="single" w:sz="6" w:space="6" w:color="DFE0E1"/>
      </w:pBdr>
    </w:pPr>
    <w:r/>
    <w:r>
      <w:drawing>
        <wp:inline xmlns:a="http://schemas.openxmlformats.org/drawingml/2006/main" xmlns:pic="http://schemas.openxmlformats.org/drawingml/2006/picture">
          <wp:extent cx="792000" cy="198000"/>
          <wp:docPr id="1" name="Picture 1"/>
          <wp:cNvGraphicFramePr>
            <a:graphicFrameLocks noChangeAspect="1"/>
          </wp:cNvGraphicFramePr>
          <a:graphic>
            <a:graphicData uri="http://schemas.openxmlformats.org/drawingml/2006/picture">
              <pic:pic>
                <pic:nvPicPr>
                  <pic:cNvPr id="0" name="your_logo.png"/>
                  <pic:cNvPicPr/>
                </pic:nvPicPr>
                <pic:blipFill>
                  <a:blip r:embed="rId1"/>
                  <a:stretch>
                    <a:fillRect/>
                  </a:stretch>
                </pic:blipFill>
                <pic:spPr>
                  <a:xfrm>
                    <a:off x="0" y="0"/>
                    <a:ext cx="792000" cy="198000"/>
                  </a:xfrm>
                  <a:prstGeom prst="rect"/>
                </pic:spPr>
              </pic:pic>
            </a:graphicData>
          </a:graphic>
        </wp:inline>
      </w:drawing>
    </w:r>
    <w:r>
      <w:rPr>
        <w:rFonts w:ascii="Calibri" w:hAnsi="Calibri" w:eastAsia="Calibri" w:cs="Calibri"/>
        <w:b w:val="0"/>
        <w:i w:val="0"/>
      </w:rPr>
      <w:tab/>
    </w:r>
    <w:r>
      <w:rPr>
        <w:rFonts w:ascii="Calibri" w:hAnsi="Calibri" w:eastAsia="Calibri" w:cs="Calibri"/>
        <w:b/>
        <w:i w:val="0"/>
        <w:caps/>
        <w:color w:val="5F6B77"/>
        <w:sz w:val="15"/>
        <w:spacing w:val="20"/>
      </w:rPr>
      <w:t>Lawyer profile  ·  Pitch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52" w:lineRule="auto"/>
    </w:pPr>
    <w:rPr>
      <w:rFonts w:ascii="Calibri" w:hAnsi="Calibri" w:eastAsia="Calibri"/>
      <w:color w:val="1F2226"/>
      <w:sz w:val="19"/>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1F2226"/>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Lawyer Pitch Bio</dc:title>
  <dc:subject>Recruitment template</dc:subject>
  <dc:creator>Your Firm</dc:creator>
  <cp:keywords/>
  <dc:description>Example filled with a fictional candidate. Overwrite it with your own.</dc:description>
  <cp:lastModifiedBy>Your Firm</cp:lastModifiedBy>
  <cp:revision>1</cp:revision>
  <dcterms:created xsi:type="dcterms:W3CDTF">2013-12-23T23:15:00Z</dcterms:created>
  <dcterms:modified xsi:type="dcterms:W3CDTF">2013-12-23T23:15:00Z</dcterms:modified>
  <cp:category>Template</cp:category>
  <dc:identifier/>
  <dc:language/>
</cp:coreProperties>
</file>