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Interview scorecard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Rachel Donnelly</w:t>
      </w:r>
    </w:p>
    <w:p>
      <w:pPr>
        <w:spacing w:before="0" w:after="16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Director of Finance Transformation</w:t>
      </w: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  ·  Halden Group</w:t>
      </w:r>
    </w:p>
    <w:tbl>
      <w:tblPr>
        <w:tblLook w:firstColumn="1" w:firstRow="1" w:lastColumn="0" w:lastRow="0" w:noHBand="0" w:noVBand="1" w:val="04A0"/>
        <w:tblW w:w="975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170"/>
        <w:gridCol w:w="2310"/>
        <w:gridCol w:w="170"/>
        <w:gridCol w:w="2310"/>
        <w:gridCol w:w="170"/>
        <w:gridCol w:w="2310"/>
      </w:tblGrid>
      <w:tr>
        <w:tc>
          <w:tcPr>
            <w:tcW w:type="dxa" w:w="2310"/>
            <w:shd w:val="clear" w:color="auto" w:fill="F2F3F3"/>
            <w:tcBorders>
              <w:top w:val="single" w:sz="12" w:space="0" w:color="2E3338"/>
            </w:tcBorders>
            <w:tcMar>
              <w:top w:w="110" w:type="dxa"/>
              <w:left w:w="160" w:type="dxa"/>
              <w:bottom w:w="13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Interviewer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James Holloway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Group CFO, Halden Group</w:t>
            </w:r>
          </w:p>
        </w:tc>
        <w:tc>
          <w:tcPr>
            <w:tcW w:type="dxa" w:w="170"/>
          </w:tcPr>
          <w:p/>
        </w:tc>
        <w:tc>
          <w:tcPr>
            <w:tcW w:type="dxa" w:w="2310"/>
            <w:shd w:val="clear" w:color="auto" w:fill="F2F3F3"/>
            <w:tcBorders>
              <w:top w:val="single" w:sz="12" w:space="0" w:color="2E3338"/>
            </w:tcBorders>
            <w:tcMar>
              <w:top w:w="110" w:type="dxa"/>
              <w:left w:w="160" w:type="dxa"/>
              <w:bottom w:w="13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Stage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Second interview</w:t>
            </w:r>
          </w:p>
        </w:tc>
        <w:tc>
          <w:tcPr>
            <w:tcW w:type="dxa" w:w="170"/>
          </w:tcPr>
          <w:p/>
        </w:tc>
        <w:tc>
          <w:tcPr>
            <w:tcW w:type="dxa" w:w="2310"/>
            <w:shd w:val="clear" w:color="auto" w:fill="F2F3F3"/>
            <w:tcBorders>
              <w:top w:val="single" w:sz="12" w:space="0" w:color="2E3338"/>
            </w:tcBorders>
            <w:tcMar>
              <w:top w:w="110" w:type="dxa"/>
              <w:left w:w="160" w:type="dxa"/>
              <w:bottom w:w="13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Date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23 September 2026</w:t>
            </w:r>
          </w:p>
        </w:tc>
        <w:tc>
          <w:tcPr>
            <w:tcW w:type="dxa" w:w="170"/>
          </w:tcPr>
          <w:p/>
        </w:tc>
        <w:tc>
          <w:tcPr>
            <w:tcW w:type="dxa" w:w="2310"/>
            <w:shd w:val="clear" w:color="auto" w:fill="F2F3F3"/>
            <w:tcBorders>
              <w:top w:val="single" w:sz="12" w:space="0" w:color="2E3338"/>
            </w:tcBorders>
            <w:tcMar>
              <w:top w:w="110" w:type="dxa"/>
              <w:left w:w="160" w:type="dxa"/>
              <w:bottom w:w="130" w:type="dxa"/>
              <w:right w:w="14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Format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Competency-based, 75 minutes</w:t>
            </w:r>
          </w:p>
        </w:tc>
      </w:tr>
    </w:tbl>
    <w:p>
      <w:pPr>
        <w:spacing w:before="0" w:after="0" w:line="1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061"/>
        <w:gridCol w:w="170"/>
        <w:gridCol w:w="6521"/>
      </w:tblGrid>
      <w:tr>
        <w:tc>
          <w:tcPr>
            <w:tcW w:type="dxa" w:w="3061"/>
            <w:shd w:val="clear" w:color="auto" w:fill="F1F2F3"/>
            <w:tcMar>
              <w:top w:w="150" w:type="dxa"/>
              <w:left w:w="220" w:type="dxa"/>
              <w:bottom w:w="160" w:type="dxa"/>
              <w:right w:w="200" w:type="dxa"/>
            </w:tcMar>
            <w:vAlign w:val="center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Overall rating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44"/>
              </w:rPr>
              <w:t xml:space="preserve">4.0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22"/>
              </w:rPr>
              <w:t xml:space="preserve"> / 5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Mean of 5 rated competencies</w:t>
            </w:r>
          </w:p>
        </w:tc>
        <w:tc>
          <w:tcPr>
            <w:tcW w:type="dxa" w:w="170"/>
          </w:tcPr>
          <w:p/>
        </w:tc>
        <w:tc>
          <w:tcPr>
            <w:shd w:val="clear" w:color="auto" w:fill="5F6B77"/>
            <w:tcW w:type="dxa" w:w="6521"/>
            <w:tcMar>
              <w:top w:w="150" w:type="dxa"/>
              <w:left w:w="220" w:type="dxa"/>
              <w:bottom w:w="160" w:type="dxa"/>
              <w:right w:w="200" w:type="dxa"/>
            </w:tcMar>
            <w:vAlign w:val="center"/>
          </w:tcPr>
          <w:p>
            <w:pPr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5"/>
                <w:spacing w:val="30"/>
              </w:rPr>
              <w:t>Recommendation</w:t>
            </w:r>
          </w:p>
          <w:p>
            <w:pPr>
              <w:spacing w:before="0" w:after="0"/>
            </w:pPr>
            <w:r>
              <w:rPr>
                <w:rFonts w:ascii="Cambria" w:hAnsi="Cambria" w:eastAsia="Cambria" w:cs="Cambria"/>
                <w:b w:val="0"/>
                <w:i w:val="0"/>
                <w:color w:val="FFFFFF"/>
                <w:sz w:val="34"/>
              </w:rPr>
              <w:t xml:space="preserve">Hire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Competency ratings</w:t>
      </w:r>
    </w:p>
    <w:tbl>
      <w:tblPr>
        <w:tblLook w:firstColumn="1" w:firstRow="1" w:lastColumn="0" w:lastRow="0" w:noHBand="0" w:noVBand="1" w:val="04A0"/>
        <w:tblW w:w="9754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539"/>
        <w:gridCol w:w="539"/>
        <w:gridCol w:w="539"/>
        <w:gridCol w:w="539"/>
        <w:gridCol w:w="539"/>
        <w:gridCol w:w="227"/>
        <w:gridCol w:w="3884"/>
      </w:tblGrid>
      <w:tr>
        <w:tc>
          <w:tcPr>
            <w:tcW w:type="dxa" w:w="2948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Competency</w:t>
            </w:r>
          </w:p>
        </w:tc>
        <w:tc>
          <w:tcPr>
            <w:tcW w:type="dxa" w:w="539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5"/>
              </w:rPr>
              <w:t>1</w:t>
            </w:r>
          </w:p>
        </w:tc>
        <w:tc>
          <w:tcPr>
            <w:tcW w:type="dxa" w:w="539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5"/>
              </w:rPr>
              <w:t>2</w:t>
            </w:r>
          </w:p>
        </w:tc>
        <w:tc>
          <w:tcPr>
            <w:tcW w:type="dxa" w:w="539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5"/>
              </w:rPr>
              <w:t>3</w:t>
            </w:r>
          </w:p>
        </w:tc>
        <w:tc>
          <w:tcPr>
            <w:tcW w:type="dxa" w:w="539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5"/>
              </w:rPr>
              <w:t>4</w:t>
            </w:r>
          </w:p>
        </w:tc>
        <w:tc>
          <w:tcPr>
            <w:tcW w:type="dxa" w:w="539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6B6D70"/>
                <w:sz w:val="15"/>
              </w:rPr>
              <w:t>5</w:t>
            </w:r>
          </w:p>
        </w:tc>
        <w:tc>
          <w:tcPr>
            <w:tcW w:type="dxa" w:w="227"/>
            <w:tcMar>
              <w:top w:w="0" w:type="dxa"/>
              <w:left w:w="0" w:type="dxa"/>
              <w:bottom w:w="50" w:type="dxa"/>
              <w:right w:w="0" w:type="dxa"/>
            </w:tcMar>
          </w:tcPr>
          <w:p/>
        </w:tc>
        <w:tc>
          <w:tcPr>
            <w:tcW w:type="dxa" w:w="3884"/>
            <w:tcMar>
              <w:top w:w="0" w:type="dxa"/>
              <w:left w:w="0" w:type="dxa"/>
              <w:bottom w:w="5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Rating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Transformation Leadership</w:t>
            </w:r>
          </w:p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4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 / 5</w:t>
            </w:r>
          </w:p>
        </w:tc>
      </w:tr>
      <w:tr>
        <w:trPr>
          <w:cantSplit/>
        </w:trPr>
        <w:tc>
          <w:tcPr>
            <w:tcW w:type="dxa" w:w="9754"/>
            <w:gridSpan w:val="8"/>
            <w:tcMar>
              <w:top w:w="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Led a two-year finance operating-model change across 14 countries; clear on sequencing and what she would do differently.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Finance &amp; Commercial Acumen</w:t>
            </w:r>
          </w:p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4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 / 5</w:t>
            </w:r>
          </w:p>
        </w:tc>
      </w:tr>
      <w:tr>
        <w:trPr>
          <w:cantSplit/>
        </w:trPr>
        <w:tc>
          <w:tcPr>
            <w:tcW w:type="dxa" w:w="9754"/>
            <w:gridSpan w:val="8"/>
            <w:tcMar>
              <w:top w:w="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Linked the ERP business case to working-capital and pricing benefits with credible numbers.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Stakeholder Influence</w:t>
            </w:r>
          </w:p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5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 / 5</w:t>
            </w:r>
          </w:p>
        </w:tc>
      </w:tr>
      <w:tr>
        <w:trPr>
          <w:cantSplit/>
        </w:trPr>
        <w:tc>
          <w:tcPr>
            <w:tcW w:type="dxa" w:w="9754"/>
            <w:gridSpan w:val="8"/>
            <w:tcMar>
              <w:top w:w="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Strong examples of bringing sceptical country CFOs with her; handled challenge from the panel calmly.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Systems and Data</w:t>
            </w:r>
          </w:p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3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 / 5</w:t>
            </w:r>
          </w:p>
        </w:tc>
      </w:tr>
      <w:tr>
        <w:trPr>
          <w:cantSplit/>
        </w:trPr>
        <w:tc>
          <w:tcPr>
            <w:tcW w:type="dxa" w:w="9754"/>
            <w:gridSpan w:val="8"/>
            <w:tcMar>
              <w:top w:w="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Solid on process and data governance; less hands-on with the planning tools we use.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People Leadership</w:t>
            </w:r>
          </w:p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5F6B77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4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 / 5</w:t>
            </w:r>
          </w:p>
        </w:tc>
      </w:tr>
      <w:tr>
        <w:trPr>
          <w:cantSplit/>
        </w:trPr>
        <w:tc>
          <w:tcPr>
            <w:tcW w:type="dxa" w:w="9754"/>
            <w:gridSpan w:val="8"/>
            <w:tcMar>
              <w:top w:w="0" w:type="dxa"/>
              <w:left w:w="0" w:type="dxa"/>
              <w:bottom w:w="80" w:type="dxa"/>
              <w:right w:w="0" w:type="dxa"/>
            </w:tcMar>
            <w:tcBorders>
              <w:bottom w:val="single" w:sz="4" w:space="0" w:color="DFE0E1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Built and retained a 40-person programme team; two direct reports promoted into finance director roles.</w:t>
            </w:r>
          </w:p>
        </w:tc>
      </w:tr>
      <w:tr>
        <w:trPr>
          <w:trHeight w:val="317" w:hRule="atLeast"/>
          <w:cantSplit/>
        </w:trPr>
        <w:tc>
          <w:tcPr>
            <w:tcW w:type="dxa" w:w="2948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M&amp;A Integration</w:t>
            </w:r>
          </w:p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shd w:val="clear" w:color="auto" w:fill="DFE0E1"/>
            <w:tcW w:type="dxa" w:w="539"/>
            <w:tcBorders>
              <w:top w:val="single" w:sz="30" w:space="0" w:color="FFFFFF"/>
              <w:left w:val="single" w:sz="18" w:space="0" w:color="FFFFFF"/>
              <w:bottom w:val="single" w:sz="30" w:space="0" w:color="FFFFFF"/>
              <w:right w:val="single" w:sz="18" w:space="0" w:color="FFFFFF"/>
            </w:tcBorders>
          </w:tcPr>
          <w:p/>
        </w:tc>
        <w:tc>
          <w:tcPr>
            <w:tcW w:type="dxa" w:w="227"/>
          </w:tcPr>
          <w:p/>
        </w:tc>
        <w:tc>
          <w:tcPr>
            <w:tcW w:type="dxa" w:w="3884"/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Not rated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/>
            </w:r>
          </w:p>
        </w:tc>
      </w:tr>
    </w:tbl>
    <w:p>
      <w:pPr>
        <w:spacing w:before="100" w:after="0"/>
      </w:pPr>
      <w:r>
        <w:rPr>
          <w:rFonts w:ascii="Calibri" w:hAnsi="Calibri" w:eastAsia="Calibri" w:cs="Calibri"/>
          <w:b w:val="0"/>
          <w:i w:val="0"/>
          <w:color w:val="6B6D70"/>
          <w:sz w:val="15"/>
        </w:rPr>
        <w:t>Scale:  1 Little evidence  ·  2 Some evidence  ·  3 Meets the bar  ·  4 Strong  ·  5 Exceptional</w:t>
      </w:r>
    </w:p>
    <w:p>
      <w:pPr>
        <w:spacing w:before="0" w:after="0" w:line="1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77"/>
        <w:gridCol w:w="198"/>
        <w:gridCol w:w="4777"/>
      </w:tblGrid>
      <w:tr>
        <w:trPr>
          <w:cantSplit/>
        </w:trPr>
        <w:tc>
          <w:tcPr>
            <w:tcW w:type="dxa" w:w="4777"/>
            <w:shd w:val="clear" w:color="auto" w:fill="F2F3F3"/>
            <w:tcBorders>
              <w:top w:val="single" w:sz="24" w:space="0" w:color="2E3338"/>
            </w:tcBorders>
            <w:tcMar>
              <w:top w:w="130" w:type="dxa"/>
              <w:left w:w="200" w:type="dxa"/>
              <w:bottom w:w="150" w:type="dxa"/>
              <w:right w:w="20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Strengths observed</w:t>
            </w:r>
          </w:p>
          <w:p>
            <w:pPr>
              <w:pStyle w:val="ListBullet"/>
              <w:spacing w:before="0" w:after="60"/>
              <w:ind w:left="227" w:hanging="17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Calm, structured communicator who handled challenge from the panel well</w:t>
            </w:r>
          </w:p>
          <w:p>
            <w:pPr>
              <w:pStyle w:val="ListBullet"/>
              <w:spacing w:before="0" w:after="60"/>
              <w:ind w:left="227" w:hanging="17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Hands-on experience of a multi-country finance transformation at a similar scale</w:t>
            </w:r>
          </w:p>
          <w:p>
            <w:pPr>
              <w:pStyle w:val="ListBullet"/>
              <w:spacing w:before="0" w:after="60"/>
              <w:ind w:left="227" w:hanging="17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Commercial framing of every change: benefits are counted, not assumed</w:t>
            </w:r>
          </w:p>
        </w:tc>
        <w:tc>
          <w:tcPr>
            <w:tcW w:type="dxa" w:w="198"/>
          </w:tcPr>
          <w:p/>
        </w:tc>
        <w:tc>
          <w:tcPr>
            <w:tcW w:type="dxa" w:w="4777"/>
            <w:shd w:val="clear" w:color="auto" w:fill="F2F3F3"/>
            <w:tcBorders>
              <w:top w:val="single" w:sz="24" w:space="0" w:color="5F6B77"/>
            </w:tcBorders>
            <w:tcMar>
              <w:top w:w="130" w:type="dxa"/>
              <w:left w:w="200" w:type="dxa"/>
              <w:bottom w:w="150" w:type="dxa"/>
              <w:right w:w="200" w:type="dxa"/>
            </w:tcMar>
          </w:tcPr>
          <w:p>
            <w:pPr>
              <w:spacing w:before="0" w:after="80"/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Concerns to explore</w:t>
            </w:r>
          </w:p>
          <w:p>
            <w:pPr>
              <w:pStyle w:val="ListBullet"/>
              <w:spacing w:before="0" w:after="60"/>
              <w:ind w:left="227" w:hanging="17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Limited exposure to integration work; M&amp;A integration was not covered and should be probed at the final stage</w:t>
            </w:r>
          </w:p>
          <w:p>
            <w:pPr>
              <w:pStyle w:val="ListBullet"/>
              <w:spacing w:before="0" w:after="60"/>
              <w:ind w:left="227" w:hanging="17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Would need support on the planning tools used in the group</w:t>
            </w:r>
          </w:p>
        </w:tc>
      </w:tr>
    </w:tbl>
    <w:p>
      <w:pPr>
        <w:keepNext/>
        <w:spacing w:before="240" w:after="10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6"/>
        </w:rPr>
        <w:t>Recommendation and next step</w:t>
      </w:r>
    </w:p>
    <w:p>
      <w:pPr>
        <w:spacing w:before="0" w:after="80"/>
        <w:jc w:val="both"/>
      </w:pPr>
      <w:r>
        <w:rPr>
          <w:rFonts w:ascii="Calibri" w:hAnsi="Calibri" w:eastAsia="Calibri" w:cs="Calibri"/>
          <w:b w:val="0"/>
          <w:i w:val="0"/>
        </w:rPr>
        <w:t xml:space="preserve">Rachel meets the bar on every rated competency and is exceptional on stakeholder influence, which matters most for this role. The gap on systems is coachable. I recommend she progresses to the final interview with the CEO, with M&amp;A integration as the main area to test.</w:t>
      </w:r>
    </w:p>
    <w:p>
      <w:pPr>
        <w:spacing w:before="40" w:after="0"/>
      </w:pP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Next step  </w:t>
      </w:r>
      <w:r>
        <w:rPr>
          <w:rFonts w:ascii="Calibri" w:hAnsi="Calibri" w:eastAsia="Calibri" w:cs="Calibri"/>
          <w:b w:val="0"/>
          <w:i w:val="0"/>
          <w:sz w:val="19"/>
        </w:rPr>
        <w:t xml:space="preserve">Final interview with the CEO, week commencing 5 October 2026</w:t>
      </w:r>
    </w:p>
    <w:p>
      <w:pPr>
        <w:keepNext/>
        <w:spacing w:before="200" w:after="0"/>
        <w:pBdr>
          <w:top w:val="single" w:sz="6" w:space="6" w:color="DFE0E1"/>
        </w:pBdr>
      </w:pPr>
      <w:r>
        <w:rPr>
          <w:rFonts w:ascii="Calibri" w:hAnsi="Calibri" w:eastAsia="Calibri" w:cs="Calibri"/>
          <w:b/>
          <w:i w:val="0"/>
          <w:color w:val="2E3338"/>
          <w:sz w:val="18"/>
        </w:rPr>
        <w:t xml:space="preserve">Completed by James Holloway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·  23 September 2026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77" w:bottom="794" w:left="107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Ratings and comments are the interviewer’s own, recorded after the interview. Confidential to the hiring team.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Interview scorecard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Scorecard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