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aps/>
          <w:color w:val="5F6B77"/>
          <w:sz w:val="15"/>
          <w:spacing w:val="30"/>
        </w:rPr>
        <w:t>Interview feedback</w:t>
      </w:r>
    </w:p>
    <w:p>
      <w:pPr>
        <w:spacing w:before="0" w:after="40"/>
      </w:pPr>
      <w:r>
        <w:rPr>
          <w:rFonts w:ascii="Cambria" w:hAnsi="Cambria" w:eastAsia="Cambria" w:cs="Cambria"/>
          <w:b w:val="0"/>
          <w:i w:val="0"/>
          <w:color w:val="2E3338"/>
          <w:sz w:val="46"/>
        </w:rPr>
        <w:t xml:space="preserve">Daniel Okafor</w:t>
      </w:r>
    </w:p>
    <w:p>
      <w:pPr>
        <w:spacing w:before="0" w:after="120"/>
      </w:pPr>
      <w:r>
        <w:rPr>
          <w:rFonts w:ascii="Calibri" w:hAnsi="Calibri" w:eastAsia="Calibri" w:cs="Calibri"/>
          <w:b/>
          <w:i w:val="0"/>
          <w:color w:val="5F6B77"/>
          <w:sz w:val="22"/>
        </w:rPr>
        <w:t xml:space="preserve">Head of Operations</w:t>
      </w:r>
      <w:r>
        <w:rPr>
          <w:rFonts w:ascii="Calibri" w:hAnsi="Calibri" w:eastAsia="Calibri" w:cs="Calibri"/>
          <w:b w:val="0"/>
          <w:i w:val="0"/>
          <w:color w:val="1F2226"/>
          <w:sz w:val="21"/>
        </w:rPr>
        <w:t xml:space="preserve">   ·   Marlow &amp; Reeve Logistics</w:t>
      </w:r>
    </w:p>
    <w:tbl>
      <w:tblPr>
        <w:tblLook w:firstColumn="1" w:firstRow="1" w:lastColumn="0" w:lastRow="0" w:noHBand="0" w:noVBand="1" w:val="04A0"/>
        <w:tblW w:w="9753"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3062"/>
        <w:gridCol w:w="227"/>
        <w:gridCol w:w="1701"/>
        <w:gridCol w:w="3062"/>
      </w:tblGrid>
      <w:tr>
        <w:trPr>
          <w:cantSplit/>
        </w:trPr>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Interviewer</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Helen Ashworth, Chief Operating Officer</w:t>
            </w:r>
          </w:p>
        </w:tc>
        <w:tc>
          <w:tcPr>
            <w:tcW w:type="dxa" w:w="227"/>
          </w:tcPr>
          <w:p/>
        </w:tc>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Interview stage</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First interview</w:t>
            </w:r>
          </w:p>
        </w:tc>
      </w:tr>
      <w:tr>
        <w:trPr>
          <w:cantSplit/>
        </w:trPr>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Date and format</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14 October 2026  ·  In person, 75 minutes</w:t>
            </w:r>
          </w:p>
        </w:tc>
        <w:tc>
          <w:tcPr>
            <w:tcW w:type="dxa" w:w="227"/>
          </w:tcPr>
          <w:p/>
        </w:tc>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Feedback taken by</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Priya Raman, 15 October 2026</w:t>
            </w:r>
          </w:p>
        </w:tc>
      </w:tr>
    </w:tbl>
    <w:p>
      <w:pPr>
        <w:keepNext/>
        <w:spacing w:before="160" w:after="100"/>
        <w:pBdr>
          <w:bottom w:val="single" w:sz="6" w:space="4" w:color="DFE0E1"/>
        </w:pBdr>
      </w:pPr>
      <w:r>
        <w:rPr>
          <w:rFonts w:ascii="Cambria" w:hAnsi="Cambria" w:eastAsia="Cambria" w:cs="Cambria"/>
          <w:b w:val="0"/>
          <w:i w:val="0"/>
          <w:color w:val="2E3338"/>
          <w:sz w:val="24"/>
        </w:rPr>
        <w:t xml:space="preserve">Outcome</w:t>
      </w:r>
    </w:p>
    <w:tbl>
      <w:tblPr>
        <w:tblLook w:firstColumn="1" w:firstRow="1" w:lastColumn="0" w:lastRow="0" w:noHBand="0" w:noVBand="1" w:val="04A0"/>
        <w:tblW w:w="9751"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37"/>
        <w:gridCol w:w="170"/>
        <w:gridCol w:w="3137"/>
        <w:gridCol w:w="170"/>
        <w:gridCol w:w="3137"/>
      </w:tblGrid>
      <w:tr>
        <w:trPr>
          <w:cantSplit/>
        </w:trPr>
        <w:tc>
          <w:tcPr>
            <w:shd w:val="clear" w:color="auto" w:fill="2E3338"/>
            <w:tcW w:type="dxa" w:w="3137"/>
            <w:tcMar>
              <w:top w:w="110" w:type="dxa"/>
              <w:left w:w="160" w:type="dxa"/>
              <w:bottom w:w="110" w:type="dxa"/>
              <w:right w:w="160" w:type="dxa"/>
            </w:tcMar>
            <w:vAlign w:val="center"/>
          </w:tcPr>
          <w:p>
            <w:pPr>
              <w:spacing w:before="0" w:after="0"/>
              <w:jc w:val="center"/>
            </w:pPr>
            <w:r>
              <w:rPr>
                <w:rFonts w:ascii="Cambria" w:hAnsi="Cambria" w:eastAsia="Cambria" w:cs="Cambria"/>
                <w:b/>
                <w:i w:val="0"/>
                <w:color w:val="FFFFFF"/>
                <w:sz w:val="22"/>
              </w:rPr>
              <w:t xml:space="preserve">✓  Proceed</w:t>
            </w:r>
            <w:r>
              <w:rPr>
                <w:rFonts w:ascii="Cambria" w:hAnsi="Cambria" w:eastAsia="Cambria" w:cs="Cambria"/>
                <w:b w:val="0"/>
                <w:i w:val="0"/>
                <w:color w:val="6B6D70"/>
                <w:sz w:val="22"/>
              </w:rPr>
              <w:t xml:space="preserve"/>
            </w:r>
          </w:p>
        </w:tc>
        <w:tc>
          <w:tcPr>
            <w:tcW w:type="dxa" w:w="170"/>
          </w:tcPr>
          <w:p/>
        </w:tc>
        <w:tc>
          <w:tcPr>
            <w:shd w:val="clear" w:color="auto" w:fill="F2F3F3"/>
            <w:tcW w:type="dxa" w:w="3137"/>
            <w:tcMar>
              <w:top w:w="110" w:type="dxa"/>
              <w:left w:w="160" w:type="dxa"/>
              <w:bottom w:w="110" w:type="dxa"/>
              <w:right w:w="160" w:type="dxa"/>
            </w:tcMar>
            <w:vAlign w:val="center"/>
          </w:tcPr>
          <w:p>
            <w:pPr>
              <w:spacing w:before="0" w:after="0"/>
              <w:jc w:val="center"/>
            </w:pPr>
            <w:r>
              <w:rPr>
                <w:rFonts w:ascii="Cambria" w:hAnsi="Cambria" w:eastAsia="Cambria" w:cs="Cambria"/>
                <w:b/>
                <w:i w:val="0"/>
                <w:color w:val="FFFFFF"/>
                <w:sz w:val="22"/>
              </w:rPr>
              <w:t xml:space="preserve"/>
            </w:r>
            <w:r>
              <w:rPr>
                <w:rFonts w:ascii="Cambria" w:hAnsi="Cambria" w:eastAsia="Cambria" w:cs="Cambria"/>
                <w:b w:val="0"/>
                <w:i w:val="0"/>
                <w:color w:val="6B6D70"/>
                <w:sz w:val="22"/>
              </w:rPr>
              <w:t xml:space="preserve">Hold</w:t>
            </w:r>
          </w:p>
        </w:tc>
        <w:tc>
          <w:tcPr>
            <w:tcW w:type="dxa" w:w="170"/>
          </w:tcPr>
          <w:p/>
        </w:tc>
        <w:tc>
          <w:tcPr>
            <w:shd w:val="clear" w:color="auto" w:fill="F2F3F3"/>
            <w:tcW w:type="dxa" w:w="3137"/>
            <w:tcMar>
              <w:top w:w="110" w:type="dxa"/>
              <w:left w:w="160" w:type="dxa"/>
              <w:bottom w:w="110" w:type="dxa"/>
              <w:right w:w="160" w:type="dxa"/>
            </w:tcMar>
            <w:vAlign w:val="center"/>
          </w:tcPr>
          <w:p>
            <w:pPr>
              <w:spacing w:before="0" w:after="0"/>
              <w:jc w:val="center"/>
            </w:pPr>
            <w:r>
              <w:rPr>
                <w:rFonts w:ascii="Cambria" w:hAnsi="Cambria" w:eastAsia="Cambria" w:cs="Cambria"/>
                <w:b/>
                <w:i w:val="0"/>
                <w:color w:val="FFFFFF"/>
                <w:sz w:val="22"/>
              </w:rPr>
              <w:t xml:space="preserve"/>
            </w:r>
            <w:r>
              <w:rPr>
                <w:rFonts w:ascii="Cambria" w:hAnsi="Cambria" w:eastAsia="Cambria" w:cs="Cambria"/>
                <w:b w:val="0"/>
                <w:i w:val="0"/>
                <w:color w:val="6B6D70"/>
                <w:sz w:val="22"/>
              </w:rPr>
              <w:t xml:space="preserve">Decline</w:t>
            </w:r>
          </w:p>
        </w:tc>
      </w:tr>
    </w:tbl>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752" w:type="dxa"/>
        <w:jc w:val="left"/>
        <w:tblInd w:w="22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c>
          <w:tcPr>
            <w:tcW w:type="dxa" w:w="9752"/>
            <w:shd w:val="clear" w:color="auto" w:fill="F1F2F3"/>
            <w:tcBorders>
              <w:left w:val="single" w:sz="24" w:space="0" w:color="5F6B77"/>
            </w:tcBorders>
            <w:tcMar>
              <w:top w:w="100" w:type="dxa"/>
              <w:left w:w="220" w:type="dxa"/>
              <w:bottom w:w="110" w:type="dxa"/>
              <w:right w:w="220" w:type="dxa"/>
            </w:tcMar>
          </w:tcPr>
          <w:p>
            <w:pPr>
              <w:spacing w:before="0" w:after="40"/>
            </w:pPr>
            <w:r>
              <w:rPr>
                <w:rFonts w:ascii="Calibri" w:hAnsi="Calibri" w:eastAsia="Calibri" w:cs="Calibri"/>
                <w:b/>
                <w:i w:val="0"/>
                <w:caps/>
                <w:color w:val="5F6B77"/>
                <w:sz w:val="14"/>
                <w:spacing w:val="30"/>
              </w:rPr>
              <w:t>Overall impression</w:t>
            </w:r>
            <w:r>
              <w:rPr>
                <w:rFonts w:ascii="Calibri" w:hAnsi="Calibri" w:eastAsia="Calibri" w:cs="Calibri"/>
                <w:b w:val="0"/>
                <w:i w:val="0"/>
                <w:color w:val="6B6D70"/>
                <w:sz w:val="14"/>
              </w:rPr>
              <w:t xml:space="preserve">   in Helen Ashworth’s words</w:t>
            </w:r>
          </w:p>
          <w:p>
            <w:pPr>
              <w:spacing w:before="0" w:after="0"/>
              <w:jc w:val="both"/>
            </w:pPr>
            <w:r>
              <w:rPr>
                <w:rFonts w:ascii="Calibri" w:hAnsi="Calibri" w:eastAsia="Calibri" w:cs="Calibri"/>
                <w:b w:val="0"/>
                <w:i/>
                <w:sz w:val="20"/>
              </w:rPr>
              <w:t xml:space="preserve">Daniel was the most complete operator Helen has met on this search: calm, specific about results and clearly used to running large multi-site networks under pressure.</w:t>
            </w:r>
          </w:p>
        </w:tc>
      </w:tr>
    </w:tbl>
    <w:p>
      <w:pPr>
        <w:keepNext/>
        <w:spacing w:before="200" w:after="100"/>
        <w:pBdr>
          <w:bottom w:val="single" w:sz="6" w:space="4" w:color="DFE0E1"/>
        </w:pBdr>
      </w:pPr>
      <w:r>
        <w:rPr>
          <w:rFonts w:ascii="Cambria" w:hAnsi="Cambria" w:eastAsia="Cambria" w:cs="Cambria"/>
          <w:b w:val="0"/>
          <w:i w:val="0"/>
          <w:color w:val="2E3338"/>
          <w:sz w:val="24"/>
        </w:rPr>
        <w:t>Ratings against the criteria</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721"/>
        <w:gridCol w:w="1701"/>
        <w:gridCol w:w="5330"/>
      </w:tblGrid>
      <w:tr>
        <w:trPr>
          <w:tblHeader/>
          <w:cantSplit/>
        </w:trPr>
        <w:tc>
          <w:tcPr>
            <w:tcW w:type="dxa" w:w="2721"/>
            <w:shd w:val="clear" w:color="auto" w:fill="2E3338"/>
            <w:vAlign w:val="center"/>
            <w:tcMar>
              <w:top w:w="70" w:type="dxa"/>
              <w:left w:w="100" w:type="dxa"/>
              <w:bottom w:w="70" w:type="dxa"/>
              <w:right w:w="100" w:type="dxa"/>
            </w:tcMar>
          </w:tcPr>
          <w:p>
            <w:pPr>
              <w:keepNext/>
              <w:spacing w:before="0" w:after="0"/>
            </w:pPr>
            <w:r>
              <w:rPr>
                <w:rFonts w:ascii="Calibri" w:hAnsi="Calibri" w:eastAsia="Calibri" w:cs="Calibri"/>
                <w:b/>
                <w:i w:val="0"/>
                <w:caps/>
                <w:color w:val="FFFFFF"/>
                <w:sz w:val="14"/>
                <w:spacing w:val="15"/>
              </w:rPr>
              <w:t>Criterion</w:t>
            </w:r>
          </w:p>
        </w:tc>
        <w:tc>
          <w:tcPr>
            <w:tcW w:type="dxa" w:w="1701"/>
            <w:shd w:val="clear" w:color="auto" w:fill="2E3338"/>
            <w:vAlign w:val="center"/>
            <w:tcMar>
              <w:top w:w="70" w:type="dxa"/>
              <w:left w:w="100" w:type="dxa"/>
              <w:bottom w:w="70" w:type="dxa"/>
              <w:right w:w="100" w:type="dxa"/>
            </w:tcMar>
          </w:tcPr>
          <w:p>
            <w:pPr>
              <w:keepNext/>
              <w:spacing w:before="0" w:after="0"/>
            </w:pPr>
            <w:r>
              <w:rPr>
                <w:rFonts w:ascii="Calibri" w:hAnsi="Calibri" w:eastAsia="Calibri" w:cs="Calibri"/>
                <w:b/>
                <w:i w:val="0"/>
                <w:caps/>
                <w:color w:val="FFFFFF"/>
                <w:sz w:val="14"/>
                <w:spacing w:val="15"/>
              </w:rPr>
              <w:t>Rating</w:t>
            </w:r>
          </w:p>
        </w:tc>
        <w:tc>
          <w:tcPr>
            <w:tcW w:type="dxa" w:w="5330"/>
            <w:shd w:val="clear" w:color="auto" w:fill="2E3338"/>
            <w:vAlign w:val="center"/>
            <w:tcMar>
              <w:top w:w="70" w:type="dxa"/>
              <w:left w:w="100" w:type="dxa"/>
              <w:bottom w:w="70" w:type="dxa"/>
              <w:right w:w="100" w:type="dxa"/>
            </w:tcMar>
          </w:tcPr>
          <w:p>
            <w:pPr>
              <w:keepNext/>
              <w:spacing w:before="0" w:after="0"/>
            </w:pPr>
            <w:r>
              <w:rPr>
                <w:rFonts w:ascii="Calibri" w:hAnsi="Calibri" w:eastAsia="Calibri" w:cs="Calibri"/>
                <w:b/>
                <w:i w:val="0"/>
                <w:caps/>
                <w:color w:val="FFFFFF"/>
                <w:sz w:val="14"/>
                <w:spacing w:val="15"/>
              </w:rPr>
              <w:t>Interviewer’s comment</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Multi-site warehouse leadership</w:t>
            </w:r>
          </w:p>
        </w:tc>
        <w:tc>
          <w:tcPr>
            <w:shd w:val="clear" w:color="auto" w:fill="2E3338"/>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Exceeds</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Runs eleven sites and 1,400 people today and gave detailed examples of turning round two underperforming depots.</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S&amp;OP and planning discipline</w:t>
            </w:r>
          </w:p>
        </w:tc>
        <w:tc>
          <w:tcPr>
            <w:shd w:val="clear" w:color="auto" w:fill="5F6B77"/>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Meets</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Introduced a weekly S&amp;OP cycle at his current business; Helen wanted more on how he links it to finance.</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Health &amp; Safety leadership</w:t>
            </w:r>
          </w:p>
        </w:tc>
        <w:tc>
          <w:tcPr>
            <w:shd w:val="clear" w:color="auto" w:fill="2E3338"/>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Exceeds</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Strong on safety culture, with a clear account of cutting lost-time injuries by 38% over two years.</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Change and automation</w:t>
            </w:r>
          </w:p>
        </w:tc>
        <w:tc>
          <w:tcPr>
            <w:shd w:val="clear" w:color="auto" w:fill="6B6D70"/>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Partly meets</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Has scoped automation but not yet led a full deployment; keen to learn and asked good questions.</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Commercial and customer focus</w:t>
            </w:r>
          </w:p>
        </w:tc>
        <w:tc>
          <w:tcPr>
            <w:shd w:val="clear" w:color="auto" w:fill="5F6B77"/>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Meets</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Comfortable in customer reviews and contract renewals, though less exposure to pricing than Helen would like.</w:t>
            </w:r>
          </w:p>
        </w:tc>
      </w:tr>
    </w:tbl>
    <w:p>
      <w:pPr>
        <w:spacing w:before="80" w:after="0"/>
      </w:pPr>
      <w:r>
        <w:rPr>
          <w:rFonts w:ascii="Calibri" w:hAnsi="Calibri" w:eastAsia="Calibri" w:cs="Calibri"/>
          <w:b w:val="0"/>
          <w:i w:val="0"/>
          <w:color w:val="6B6D70"/>
          <w:sz w:val="15"/>
        </w:rPr>
        <w:t>Rating scale:  Exceeds  ·  Meets  ·  Partly meets  ·  Does not meet  ·  Not rated (the interviewer gave no view)</w:t>
      </w:r>
    </w:p>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77"/>
        <w:gridCol w:w="198"/>
        <w:gridCol w:w="4777"/>
      </w:tblGrid>
      <w:tr>
        <w:trPr>
          <w:cantSplit/>
        </w:trPr>
        <w:tc>
          <w:tcPr>
            <w:tcW w:type="dxa" w:w="4777"/>
            <w:vAlign w:val="top"/>
            <w:shd w:val="clear" w:color="auto" w:fill="F2F3F3"/>
            <w:tcBorders>
              <w:top w:val="single" w:sz="24" w:space="0" w:color="2E3338"/>
            </w:tcBorders>
            <w:tcMar>
              <w:top w:w="110" w:type="dxa"/>
              <w:left w:w="200" w:type="dxa"/>
              <w:bottom w:w="120" w:type="dxa"/>
              <w:right w:w="200" w:type="dxa"/>
            </w:tcMar>
          </w:tcPr>
          <w:p>
            <w:pPr>
              <w:spacing w:before="0" w:after="80"/>
            </w:pPr>
            <w:r>
              <w:rPr>
                <w:rFonts w:ascii="Cambria" w:hAnsi="Cambria" w:eastAsia="Cambria" w:cs="Cambria"/>
                <w:b w:val="0"/>
                <w:i w:val="0"/>
                <w:color w:val="2E3338"/>
                <w:sz w:val="23"/>
              </w:rPr>
              <w:t>What went well</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Precise about numbers and the levers he pulled to improve throughput and cost per unit</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Clear, steady leadership style that would suit the current site managers</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Thought hard about the first ninety days and asked about the network review</w:t>
            </w:r>
          </w:p>
          <w:p>
            <w:pPr>
              <w:spacing w:before="0" w:after="0" w:line="2" w:lineRule="exact"/>
            </w:pPr>
            <w:r>
              <w:rPr>
                <w:rFonts w:ascii="Calibri" w:hAnsi="Calibri" w:eastAsia="Calibri" w:cs="Calibri"/>
                <w:b w:val="0"/>
                <w:i w:val="0"/>
                <w:sz w:val="2"/>
              </w:rPr>
            </w:r>
          </w:p>
        </w:tc>
        <w:tc>
          <w:tcPr>
            <w:tcW w:type="dxa" w:w="198"/>
          </w:tcPr>
          <w:p/>
        </w:tc>
        <w:tc>
          <w:tcPr>
            <w:tcW w:type="dxa" w:w="4777"/>
            <w:vAlign w:val="top"/>
            <w:shd w:val="clear" w:color="auto" w:fill="F2F3F3"/>
            <w:tcBorders>
              <w:top w:val="single" w:sz="24" w:space="0" w:color="5F6B77"/>
            </w:tcBorders>
            <w:tcMar>
              <w:top w:w="110" w:type="dxa"/>
              <w:left w:w="200" w:type="dxa"/>
              <w:bottom w:w="120" w:type="dxa"/>
              <w:right w:w="200" w:type="dxa"/>
            </w:tcMar>
          </w:tcPr>
          <w:p>
            <w:pPr>
              <w:spacing w:before="0" w:after="80"/>
            </w:pPr>
            <w:r>
              <w:rPr>
                <w:rFonts w:ascii="Cambria" w:hAnsi="Cambria" w:eastAsia="Cambria" w:cs="Cambria"/>
                <w:b w:val="0"/>
                <w:i w:val="0"/>
                <w:color w:val="2E3338"/>
                <w:sz w:val="23"/>
              </w:rPr>
              <w:t>Concerns raised</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Limited hands-on experience of a large automation project</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Notice period of three months may push the start date into February</w:t>
            </w:r>
          </w:p>
          <w:p>
            <w:pPr>
              <w:spacing w:before="0" w:after="0" w:line="2" w:lineRule="exact"/>
            </w:pPr>
            <w:r>
              <w:rPr>
                <w:rFonts w:ascii="Calibri" w:hAnsi="Calibri" w:eastAsia="Calibri" w:cs="Calibri"/>
                <w:b w:val="0"/>
                <w:i w:val="0"/>
                <w:sz w:val="2"/>
              </w:rPr>
            </w:r>
          </w:p>
        </w:tc>
      </w:tr>
    </w:tbl>
    <w:p>
      <w:pPr>
        <w:keepNext/>
        <w:spacing w:before="200" w:after="100"/>
        <w:pBdr>
          <w:bottom w:val="single" w:sz="6" w:space="4" w:color="DFE0E1"/>
        </w:pBdr>
      </w:pPr>
      <w:r>
        <w:rPr>
          <w:rFonts w:ascii="Cambria" w:hAnsi="Cambria" w:eastAsia="Cambria" w:cs="Cambria"/>
          <w:b w:val="0"/>
          <w:i w:val="0"/>
          <w:color w:val="2E3338"/>
          <w:sz w:val="24"/>
        </w:rPr>
        <w:t>Feedback for the candidate</w:t>
      </w:r>
    </w:p>
    <w:tbl>
      <w:tblPr>
        <w:tblLook w:firstColumn="1" w:firstRow="1" w:lastColumn="0" w:lastRow="0" w:noHBand="0" w:noVBand="1" w:val="04A0"/>
        <w:tblW w:w="9752" w:type="dxa"/>
        <w:jc w:val="left"/>
        <w:tblInd w:w="22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tcBorders>
              <w:top w:val="single" w:sz="4" w:space="0" w:color="DFE0E1"/>
              <w:left w:val="single" w:sz="24" w:space="0" w:color="2E3338"/>
              <w:bottom w:val="single" w:sz="4" w:space="0" w:color="DFE0E1"/>
              <w:right w:val="single" w:sz="4" w:space="0" w:color="DFE0E1"/>
            </w:tcBorders>
            <w:tcMar>
              <w:top w:w="120" w:type="dxa"/>
              <w:left w:w="220" w:type="dxa"/>
              <w:bottom w:w="140" w:type="dxa"/>
              <w:right w:w="220" w:type="dxa"/>
            </w:tcMar>
          </w:tcPr>
          <w:p>
            <w:pPr>
              <w:spacing w:before="0" w:after="60"/>
            </w:pPr>
            <w:r>
              <w:rPr>
                <w:rFonts w:ascii="Calibri" w:hAnsi="Calibri" w:eastAsia="Calibri" w:cs="Calibri"/>
                <w:b/>
                <w:i w:val="0"/>
                <w:caps/>
                <w:color w:val="5F6B77"/>
                <w:sz w:val="14"/>
                <w:spacing w:val="30"/>
              </w:rPr>
              <w:t>Agreed wording to pass on</w:t>
            </w:r>
          </w:p>
          <w:p>
            <w:pPr>
              <w:spacing w:before="0" w:after="0"/>
              <w:jc w:val="both"/>
            </w:pPr>
            <w:r>
              <w:rPr>
                <w:rFonts w:ascii="Calibri" w:hAnsi="Calibri" w:eastAsia="Calibri" w:cs="Calibri"/>
                <w:b w:val="0"/>
                <w:i w:val="0"/>
                <w:sz w:val="19"/>
              </w:rPr>
              <w:t xml:space="preserve">Helen enjoyed the conversation and was impressed by Daniel's depth in multi-site operations and safety leadership. She would like to explore his approach to automation and to working with finance on planning at the second stage, and has asked to move him forward.</w:t>
            </w:r>
          </w:p>
        </w:tc>
      </w:tr>
    </w:tbl>
    <w:p>
      <w:pPr>
        <w:keepNext/>
        <w:spacing w:before="200" w:after="100"/>
        <w:pBdr>
          <w:bottom w:val="single" w:sz="6" w:space="4" w:color="DFE0E1"/>
        </w:pBdr>
      </w:pPr>
      <w:r>
        <w:rPr>
          <w:rFonts w:ascii="Cambria" w:hAnsi="Cambria" w:eastAsia="Cambria" w:cs="Cambria"/>
          <w:b w:val="0"/>
          <w:i w:val="0"/>
          <w:color w:val="2E3338"/>
          <w:sz w:val="24"/>
        </w:rPr>
        <w:t>Next steps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Second interview with the CEO and CFO in the week of 26 October</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Prepare a short case study on the planned automation of the Daventry site</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Confirm notice period and earliest start date</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aps/>
          <w:color w:val="5F6B77"/>
          <w:sz w:val="15"/>
          <w:spacing w:val="30"/>
        </w:rPr>
        <w:t>Interview feedback</w:t>
      </w:r>
    </w:p>
    <w:p>
      <w:pPr>
        <w:spacing w:before="0" w:after="40"/>
      </w:pPr>
      <w:r>
        <w:rPr>
          <w:rFonts w:ascii="Cambria" w:hAnsi="Cambria" w:eastAsia="Cambria" w:cs="Cambria"/>
          <w:b w:val="0"/>
          <w:i w:val="0"/>
          <w:color w:val="2E3338"/>
          <w:sz w:val="46"/>
        </w:rPr>
        <w:t xml:space="preserve">Sofia Lindqvist</w:t>
      </w:r>
    </w:p>
    <w:p>
      <w:pPr>
        <w:spacing w:before="0" w:after="120"/>
      </w:pPr>
      <w:r>
        <w:rPr>
          <w:rFonts w:ascii="Calibri" w:hAnsi="Calibri" w:eastAsia="Calibri" w:cs="Calibri"/>
          <w:b/>
          <w:i w:val="0"/>
          <w:color w:val="5F6B77"/>
          <w:sz w:val="22"/>
        </w:rPr>
        <w:t xml:space="preserve">Head of Operations</w:t>
      </w:r>
      <w:r>
        <w:rPr>
          <w:rFonts w:ascii="Calibri" w:hAnsi="Calibri" w:eastAsia="Calibri" w:cs="Calibri"/>
          <w:b w:val="0"/>
          <w:i w:val="0"/>
          <w:color w:val="1F2226"/>
          <w:sz w:val="21"/>
        </w:rPr>
        <w:t xml:space="preserve">   ·   Marlow &amp; Reeve Logistics</w:t>
      </w:r>
    </w:p>
    <w:tbl>
      <w:tblPr>
        <w:tblLook w:firstColumn="1" w:firstRow="1" w:lastColumn="0" w:lastRow="0" w:noHBand="0" w:noVBand="1" w:val="04A0"/>
        <w:tblW w:w="9753"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3062"/>
        <w:gridCol w:w="227"/>
        <w:gridCol w:w="1701"/>
        <w:gridCol w:w="3062"/>
      </w:tblGrid>
      <w:tr>
        <w:trPr>
          <w:cantSplit/>
        </w:trPr>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Interviewer</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Helen Ashworth, Chief Operating Officer</w:t>
            </w:r>
          </w:p>
        </w:tc>
        <w:tc>
          <w:tcPr>
            <w:tcW w:type="dxa" w:w="227"/>
          </w:tcPr>
          <w:p/>
        </w:tc>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Interview stage</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First interview</w:t>
            </w:r>
          </w:p>
        </w:tc>
      </w:tr>
      <w:tr>
        <w:trPr>
          <w:cantSplit/>
        </w:trPr>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Date and format</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15 October 2026  ·  Video call, 60 minutes</w:t>
            </w:r>
          </w:p>
        </w:tc>
        <w:tc>
          <w:tcPr>
            <w:tcW w:type="dxa" w:w="227"/>
          </w:tcPr>
          <w:p/>
        </w:tc>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Feedback taken by</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Priya Raman, 16 October 2026</w:t>
            </w:r>
          </w:p>
        </w:tc>
      </w:tr>
    </w:tbl>
    <w:p>
      <w:pPr>
        <w:keepNext/>
        <w:spacing w:before="160" w:after="100"/>
        <w:pBdr>
          <w:bottom w:val="single" w:sz="6" w:space="4" w:color="DFE0E1"/>
        </w:pBdr>
      </w:pPr>
      <w:r>
        <w:rPr>
          <w:rFonts w:ascii="Cambria" w:hAnsi="Cambria" w:eastAsia="Cambria" w:cs="Cambria"/>
          <w:b w:val="0"/>
          <w:i w:val="0"/>
          <w:color w:val="2E3338"/>
          <w:sz w:val="24"/>
        </w:rPr>
        <w:t xml:space="preserve">Outcome</w:t>
      </w:r>
    </w:p>
    <w:tbl>
      <w:tblPr>
        <w:tblLook w:firstColumn="1" w:firstRow="1" w:lastColumn="0" w:lastRow="0" w:noHBand="0" w:noVBand="1" w:val="04A0"/>
        <w:tblW w:w="9751"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37"/>
        <w:gridCol w:w="170"/>
        <w:gridCol w:w="3137"/>
        <w:gridCol w:w="170"/>
        <w:gridCol w:w="3137"/>
      </w:tblGrid>
      <w:tr>
        <w:trPr>
          <w:cantSplit/>
        </w:trPr>
        <w:tc>
          <w:tcPr>
            <w:shd w:val="clear" w:color="auto" w:fill="F2F3F3"/>
            <w:tcW w:type="dxa" w:w="3137"/>
            <w:tcMar>
              <w:top w:w="110" w:type="dxa"/>
              <w:left w:w="160" w:type="dxa"/>
              <w:bottom w:w="110" w:type="dxa"/>
              <w:right w:w="160" w:type="dxa"/>
            </w:tcMar>
            <w:vAlign w:val="center"/>
          </w:tcPr>
          <w:p>
            <w:pPr>
              <w:spacing w:before="0" w:after="0"/>
              <w:jc w:val="center"/>
            </w:pPr>
            <w:r>
              <w:rPr>
                <w:rFonts w:ascii="Cambria" w:hAnsi="Cambria" w:eastAsia="Cambria" w:cs="Cambria"/>
                <w:b/>
                <w:i w:val="0"/>
                <w:color w:val="FFFFFF"/>
                <w:sz w:val="22"/>
              </w:rPr>
              <w:t xml:space="preserve"/>
            </w:r>
            <w:r>
              <w:rPr>
                <w:rFonts w:ascii="Cambria" w:hAnsi="Cambria" w:eastAsia="Cambria" w:cs="Cambria"/>
                <w:b w:val="0"/>
                <w:i w:val="0"/>
                <w:color w:val="6B6D70"/>
                <w:sz w:val="22"/>
              </w:rPr>
              <w:t xml:space="preserve">Proceed</w:t>
            </w:r>
          </w:p>
        </w:tc>
        <w:tc>
          <w:tcPr>
            <w:tcW w:type="dxa" w:w="170"/>
          </w:tcPr>
          <w:p/>
        </w:tc>
        <w:tc>
          <w:tcPr>
            <w:shd w:val="clear" w:color="auto" w:fill="2E3338"/>
            <w:tcW w:type="dxa" w:w="3137"/>
            <w:tcMar>
              <w:top w:w="110" w:type="dxa"/>
              <w:left w:w="160" w:type="dxa"/>
              <w:bottom w:w="110" w:type="dxa"/>
              <w:right w:w="160" w:type="dxa"/>
            </w:tcMar>
            <w:vAlign w:val="center"/>
          </w:tcPr>
          <w:p>
            <w:pPr>
              <w:spacing w:before="0" w:after="0"/>
              <w:jc w:val="center"/>
            </w:pPr>
            <w:r>
              <w:rPr>
                <w:rFonts w:ascii="Cambria" w:hAnsi="Cambria" w:eastAsia="Cambria" w:cs="Cambria"/>
                <w:b/>
                <w:i w:val="0"/>
                <w:color w:val="FFFFFF"/>
                <w:sz w:val="22"/>
              </w:rPr>
              <w:t xml:space="preserve">✓  Hold</w:t>
            </w:r>
            <w:r>
              <w:rPr>
                <w:rFonts w:ascii="Cambria" w:hAnsi="Cambria" w:eastAsia="Cambria" w:cs="Cambria"/>
                <w:b w:val="0"/>
                <w:i w:val="0"/>
                <w:color w:val="6B6D70"/>
                <w:sz w:val="22"/>
              </w:rPr>
              <w:t xml:space="preserve"/>
            </w:r>
          </w:p>
        </w:tc>
        <w:tc>
          <w:tcPr>
            <w:tcW w:type="dxa" w:w="170"/>
          </w:tcPr>
          <w:p/>
        </w:tc>
        <w:tc>
          <w:tcPr>
            <w:shd w:val="clear" w:color="auto" w:fill="F2F3F3"/>
            <w:tcW w:type="dxa" w:w="3137"/>
            <w:tcMar>
              <w:top w:w="110" w:type="dxa"/>
              <w:left w:w="160" w:type="dxa"/>
              <w:bottom w:w="110" w:type="dxa"/>
              <w:right w:w="160" w:type="dxa"/>
            </w:tcMar>
            <w:vAlign w:val="center"/>
          </w:tcPr>
          <w:p>
            <w:pPr>
              <w:spacing w:before="0" w:after="0"/>
              <w:jc w:val="center"/>
            </w:pPr>
            <w:r>
              <w:rPr>
                <w:rFonts w:ascii="Cambria" w:hAnsi="Cambria" w:eastAsia="Cambria" w:cs="Cambria"/>
                <w:b/>
                <w:i w:val="0"/>
                <w:color w:val="FFFFFF"/>
                <w:sz w:val="22"/>
              </w:rPr>
              <w:t xml:space="preserve"/>
            </w:r>
            <w:r>
              <w:rPr>
                <w:rFonts w:ascii="Cambria" w:hAnsi="Cambria" w:eastAsia="Cambria" w:cs="Cambria"/>
                <w:b w:val="0"/>
                <w:i w:val="0"/>
                <w:color w:val="6B6D70"/>
                <w:sz w:val="22"/>
              </w:rPr>
              <w:t xml:space="preserve">Decline</w:t>
            </w:r>
          </w:p>
        </w:tc>
      </w:tr>
    </w:tbl>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752" w:type="dxa"/>
        <w:jc w:val="left"/>
        <w:tblInd w:w="22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c>
          <w:tcPr>
            <w:tcW w:type="dxa" w:w="9752"/>
            <w:shd w:val="clear" w:color="auto" w:fill="F1F2F3"/>
            <w:tcBorders>
              <w:left w:val="single" w:sz="24" w:space="0" w:color="5F6B77"/>
            </w:tcBorders>
            <w:tcMar>
              <w:top w:w="100" w:type="dxa"/>
              <w:left w:w="220" w:type="dxa"/>
              <w:bottom w:w="110" w:type="dxa"/>
              <w:right w:w="220" w:type="dxa"/>
            </w:tcMar>
          </w:tcPr>
          <w:p>
            <w:pPr>
              <w:spacing w:before="0" w:after="40"/>
            </w:pPr>
            <w:r>
              <w:rPr>
                <w:rFonts w:ascii="Calibri" w:hAnsi="Calibri" w:eastAsia="Calibri" w:cs="Calibri"/>
                <w:b/>
                <w:i w:val="0"/>
                <w:caps/>
                <w:color w:val="5F6B77"/>
                <w:sz w:val="14"/>
                <w:spacing w:val="30"/>
              </w:rPr>
              <w:t>Overall impression</w:t>
            </w:r>
            <w:r>
              <w:rPr>
                <w:rFonts w:ascii="Calibri" w:hAnsi="Calibri" w:eastAsia="Calibri" w:cs="Calibri"/>
                <w:b w:val="0"/>
                <w:i w:val="0"/>
                <w:color w:val="6B6D70"/>
                <w:sz w:val="14"/>
              </w:rPr>
              <w:t xml:space="preserve">   in Helen Ashworth’s words</w:t>
            </w:r>
          </w:p>
          <w:p>
            <w:pPr>
              <w:spacing w:before="0" w:after="0"/>
              <w:jc w:val="both"/>
            </w:pPr>
            <w:r>
              <w:rPr>
                <w:rFonts w:ascii="Calibri" w:hAnsi="Calibri" w:eastAsia="Calibri" w:cs="Calibri"/>
                <w:b w:val="0"/>
                <w:i/>
                <w:sz w:val="20"/>
              </w:rPr>
              <w:t xml:space="preserve">Sofia is sharp and very strong on change, but Helen is not yet sure she has run an operation of this size day to day.</w:t>
            </w:r>
          </w:p>
        </w:tc>
      </w:tr>
    </w:tbl>
    <w:p>
      <w:pPr>
        <w:keepNext/>
        <w:spacing w:before="200" w:after="100"/>
        <w:pBdr>
          <w:bottom w:val="single" w:sz="6" w:space="4" w:color="DFE0E1"/>
        </w:pBdr>
      </w:pPr>
      <w:r>
        <w:rPr>
          <w:rFonts w:ascii="Cambria" w:hAnsi="Cambria" w:eastAsia="Cambria" w:cs="Cambria"/>
          <w:b w:val="0"/>
          <w:i w:val="0"/>
          <w:color w:val="2E3338"/>
          <w:sz w:val="24"/>
        </w:rPr>
        <w:t>Ratings against the criteria</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721"/>
        <w:gridCol w:w="1701"/>
        <w:gridCol w:w="5330"/>
      </w:tblGrid>
      <w:tr>
        <w:trPr>
          <w:tblHeader/>
          <w:cantSplit/>
        </w:trPr>
        <w:tc>
          <w:tcPr>
            <w:tcW w:type="dxa" w:w="2721"/>
            <w:shd w:val="clear" w:color="auto" w:fill="2E3338"/>
            <w:vAlign w:val="center"/>
            <w:tcMar>
              <w:top w:w="70" w:type="dxa"/>
              <w:left w:w="100" w:type="dxa"/>
              <w:bottom w:w="70" w:type="dxa"/>
              <w:right w:w="100" w:type="dxa"/>
            </w:tcMar>
          </w:tcPr>
          <w:p>
            <w:pPr>
              <w:keepNext/>
              <w:spacing w:before="0" w:after="0"/>
            </w:pPr>
            <w:r>
              <w:rPr>
                <w:rFonts w:ascii="Calibri" w:hAnsi="Calibri" w:eastAsia="Calibri" w:cs="Calibri"/>
                <w:b/>
                <w:i w:val="0"/>
                <w:caps/>
                <w:color w:val="FFFFFF"/>
                <w:sz w:val="14"/>
                <w:spacing w:val="15"/>
              </w:rPr>
              <w:t>Criterion</w:t>
            </w:r>
          </w:p>
        </w:tc>
        <w:tc>
          <w:tcPr>
            <w:tcW w:type="dxa" w:w="1701"/>
            <w:shd w:val="clear" w:color="auto" w:fill="2E3338"/>
            <w:vAlign w:val="center"/>
            <w:tcMar>
              <w:top w:w="70" w:type="dxa"/>
              <w:left w:w="100" w:type="dxa"/>
              <w:bottom w:w="70" w:type="dxa"/>
              <w:right w:w="100" w:type="dxa"/>
            </w:tcMar>
          </w:tcPr>
          <w:p>
            <w:pPr>
              <w:keepNext/>
              <w:spacing w:before="0" w:after="0"/>
            </w:pPr>
            <w:r>
              <w:rPr>
                <w:rFonts w:ascii="Calibri" w:hAnsi="Calibri" w:eastAsia="Calibri" w:cs="Calibri"/>
                <w:b/>
                <w:i w:val="0"/>
                <w:caps/>
                <w:color w:val="FFFFFF"/>
                <w:sz w:val="14"/>
                <w:spacing w:val="15"/>
              </w:rPr>
              <w:t>Rating</w:t>
            </w:r>
          </w:p>
        </w:tc>
        <w:tc>
          <w:tcPr>
            <w:tcW w:type="dxa" w:w="5330"/>
            <w:shd w:val="clear" w:color="auto" w:fill="2E3338"/>
            <w:vAlign w:val="center"/>
            <w:tcMar>
              <w:top w:w="70" w:type="dxa"/>
              <w:left w:w="100" w:type="dxa"/>
              <w:bottom w:w="70" w:type="dxa"/>
              <w:right w:w="100" w:type="dxa"/>
            </w:tcMar>
          </w:tcPr>
          <w:p>
            <w:pPr>
              <w:keepNext/>
              <w:spacing w:before="0" w:after="0"/>
            </w:pPr>
            <w:r>
              <w:rPr>
                <w:rFonts w:ascii="Calibri" w:hAnsi="Calibri" w:eastAsia="Calibri" w:cs="Calibri"/>
                <w:b/>
                <w:i w:val="0"/>
                <w:caps/>
                <w:color w:val="FFFFFF"/>
                <w:sz w:val="14"/>
                <w:spacing w:val="15"/>
              </w:rPr>
              <w:t>Interviewer’s comment</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Multi-site warehouse leadership</w:t>
            </w:r>
          </w:p>
        </w:tc>
        <w:tc>
          <w:tcPr>
            <w:shd w:val="clear" w:color="auto" w:fill="6B6D70"/>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Partly meets</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Leads four sites today; Helen felt the jump to eleven sites and 1,400 people is a big step.</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S&amp;OP and planning discipline</w:t>
            </w:r>
          </w:p>
        </w:tc>
        <w:tc>
          <w:tcPr>
            <w:shd w:val="clear" w:color="auto" w:fill="5F6B77"/>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Meets</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Good grasp of demand planning and a clear example of improving forecast accuracy at Stratton Rail &amp; Freight.</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Health &amp; Safety leadership</w:t>
            </w:r>
          </w:p>
        </w:tc>
        <w:tc>
          <w:tcPr>
            <w:shd w:val="clear" w:color="auto" w:fill="F2F3F3"/>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
            </w:r>
            <w:r>
              <w:rPr>
                <w:rFonts w:ascii="Calibri" w:hAnsi="Calibri" w:eastAsia="Calibri" w:cs="Calibri"/>
                <w:b w:val="0"/>
                <w:i/>
                <w:color w:val="6B6D70"/>
                <w:sz w:val="17"/>
              </w:rPr>
              <w:t xml:space="preserve">Not rated</w:t>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Change and automation</w:t>
            </w:r>
          </w:p>
        </w:tc>
        <w:tc>
          <w:tcPr>
            <w:shd w:val="clear" w:color="auto" w:fill="2E3338"/>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Exceeds</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Led a goods-to-person automation roll-out end to end and spoke well about bringing teams with her.</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Commercial and customer focus</w:t>
            </w:r>
          </w:p>
        </w:tc>
        <w:tc>
          <w:tcPr>
            <w:shd w:val="clear" w:color="auto" w:fill="5F6B77"/>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Meets</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Credible with customers and clear on service levels, with some experience of tendering.</w:t>
            </w:r>
          </w:p>
        </w:tc>
      </w:tr>
    </w:tbl>
    <w:p>
      <w:pPr>
        <w:spacing w:before="80" w:after="0"/>
      </w:pPr>
      <w:r>
        <w:rPr>
          <w:rFonts w:ascii="Calibri" w:hAnsi="Calibri" w:eastAsia="Calibri" w:cs="Calibri"/>
          <w:b w:val="0"/>
          <w:i w:val="0"/>
          <w:color w:val="6B6D70"/>
          <w:sz w:val="15"/>
        </w:rPr>
        <w:t>Rating scale:  Exceeds  ·  Meets  ·  Partly meets  ·  Does not meet  ·  Not rated (the interviewer gave no view)</w:t>
      </w:r>
    </w:p>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77"/>
        <w:gridCol w:w="198"/>
        <w:gridCol w:w="4777"/>
      </w:tblGrid>
      <w:tr>
        <w:trPr>
          <w:cantSplit/>
        </w:trPr>
        <w:tc>
          <w:tcPr>
            <w:tcW w:type="dxa" w:w="4777"/>
            <w:vAlign w:val="top"/>
            <w:shd w:val="clear" w:color="auto" w:fill="F2F3F3"/>
            <w:tcBorders>
              <w:top w:val="single" w:sz="24" w:space="0" w:color="2E3338"/>
            </w:tcBorders>
            <w:tcMar>
              <w:top w:w="110" w:type="dxa"/>
              <w:left w:w="200" w:type="dxa"/>
              <w:bottom w:w="120" w:type="dxa"/>
              <w:right w:w="200" w:type="dxa"/>
            </w:tcMar>
          </w:tcPr>
          <w:p>
            <w:pPr>
              <w:spacing w:before="0" w:after="80"/>
            </w:pPr>
            <w:r>
              <w:rPr>
                <w:rFonts w:ascii="Cambria" w:hAnsi="Cambria" w:eastAsia="Cambria" w:cs="Cambria"/>
                <w:b w:val="0"/>
                <w:i w:val="0"/>
                <w:color w:val="2E3338"/>
                <w:sz w:val="23"/>
              </w:rPr>
              <w:t>What went well</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The strongest automation experience on the shortlist</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Structured thinker who explained trade-offs clearly</w:t>
            </w:r>
          </w:p>
          <w:p>
            <w:pPr>
              <w:spacing w:before="0" w:after="0" w:line="2" w:lineRule="exact"/>
            </w:pPr>
            <w:r>
              <w:rPr>
                <w:rFonts w:ascii="Calibri" w:hAnsi="Calibri" w:eastAsia="Calibri" w:cs="Calibri"/>
                <w:b w:val="0"/>
                <w:i w:val="0"/>
                <w:sz w:val="2"/>
              </w:rPr>
            </w:r>
          </w:p>
        </w:tc>
        <w:tc>
          <w:tcPr>
            <w:tcW w:type="dxa" w:w="198"/>
          </w:tcPr>
          <w:p/>
        </w:tc>
        <w:tc>
          <w:tcPr>
            <w:tcW w:type="dxa" w:w="4777"/>
            <w:vAlign w:val="top"/>
            <w:shd w:val="clear" w:color="auto" w:fill="F2F3F3"/>
            <w:tcBorders>
              <w:top w:val="single" w:sz="24" w:space="0" w:color="5F6B77"/>
            </w:tcBorders>
            <w:tcMar>
              <w:top w:w="110" w:type="dxa"/>
              <w:left w:w="200" w:type="dxa"/>
              <w:bottom w:w="120" w:type="dxa"/>
              <w:right w:w="200" w:type="dxa"/>
            </w:tcMar>
          </w:tcPr>
          <w:p>
            <w:pPr>
              <w:spacing w:before="0" w:after="80"/>
            </w:pPr>
            <w:r>
              <w:rPr>
                <w:rFonts w:ascii="Cambria" w:hAnsi="Cambria" w:eastAsia="Cambria" w:cs="Cambria"/>
                <w:b w:val="0"/>
                <w:i w:val="0"/>
                <w:color w:val="2E3338"/>
                <w:sz w:val="23"/>
              </w:rPr>
              <w:t>Concerns raised</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Scale of the current role is smaller than this one</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Health &amp; Safety was not covered in enough depth to judge</w:t>
            </w:r>
          </w:p>
          <w:p>
            <w:pPr>
              <w:spacing w:before="0" w:after="0" w:line="2" w:lineRule="exact"/>
            </w:pPr>
            <w:r>
              <w:rPr>
                <w:rFonts w:ascii="Calibri" w:hAnsi="Calibri" w:eastAsia="Calibri" w:cs="Calibri"/>
                <w:b w:val="0"/>
                <w:i w:val="0"/>
                <w:sz w:val="2"/>
              </w:rPr>
            </w:r>
          </w:p>
        </w:tc>
      </w:tr>
    </w:tbl>
    <w:p>
      <w:pPr>
        <w:keepNext/>
        <w:spacing w:before="200" w:after="100"/>
        <w:pBdr>
          <w:bottom w:val="single" w:sz="6" w:space="4" w:color="DFE0E1"/>
        </w:pBdr>
      </w:pPr>
      <w:r>
        <w:rPr>
          <w:rFonts w:ascii="Cambria" w:hAnsi="Cambria" w:eastAsia="Cambria" w:cs="Cambria"/>
          <w:b w:val="0"/>
          <w:i w:val="0"/>
          <w:color w:val="2E3338"/>
          <w:sz w:val="24"/>
        </w:rPr>
        <w:t>Feedback for the candidate</w:t>
      </w:r>
    </w:p>
    <w:tbl>
      <w:tblPr>
        <w:tblLook w:firstColumn="1" w:firstRow="1" w:lastColumn="0" w:lastRow="0" w:noHBand="0" w:noVBand="1" w:val="04A0"/>
        <w:tblW w:w="9752" w:type="dxa"/>
        <w:jc w:val="left"/>
        <w:tblInd w:w="22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tcBorders>
              <w:top w:val="single" w:sz="4" w:space="0" w:color="DFE0E1"/>
              <w:left w:val="single" w:sz="24" w:space="0" w:color="2E3338"/>
              <w:bottom w:val="single" w:sz="4" w:space="0" w:color="DFE0E1"/>
              <w:right w:val="single" w:sz="4" w:space="0" w:color="DFE0E1"/>
            </w:tcBorders>
            <w:tcMar>
              <w:top w:w="120" w:type="dxa"/>
              <w:left w:w="220" w:type="dxa"/>
              <w:bottom w:w="140" w:type="dxa"/>
              <w:right w:w="220" w:type="dxa"/>
            </w:tcMar>
          </w:tcPr>
          <w:p>
            <w:pPr>
              <w:spacing w:before="0" w:after="60"/>
            </w:pPr>
            <w:r>
              <w:rPr>
                <w:rFonts w:ascii="Calibri" w:hAnsi="Calibri" w:eastAsia="Calibri" w:cs="Calibri"/>
                <w:b/>
                <w:i w:val="0"/>
                <w:caps/>
                <w:color w:val="5F6B77"/>
                <w:sz w:val="14"/>
                <w:spacing w:val="30"/>
              </w:rPr>
              <w:t>Agreed wording to pass on</w:t>
            </w:r>
          </w:p>
          <w:p>
            <w:pPr>
              <w:spacing w:before="0" w:after="0"/>
              <w:jc w:val="both"/>
            </w:pPr>
            <w:r>
              <w:rPr>
                <w:rFonts w:ascii="Calibri" w:hAnsi="Calibri" w:eastAsia="Calibri" w:cs="Calibri"/>
                <w:b w:val="0"/>
                <w:i w:val="0"/>
                <w:sz w:val="19"/>
              </w:rPr>
              <w:t xml:space="preserve">Helen valued Sofia's experience of leading automation and her structured approach to change. Before deciding on the next stage she would like a short follow-up call on running larger operations and on safety leadership.</w:t>
            </w:r>
          </w:p>
        </w:tc>
      </w:tr>
    </w:tbl>
    <w:p>
      <w:pPr>
        <w:keepNext/>
        <w:spacing w:before="200" w:after="100"/>
        <w:pBdr>
          <w:bottom w:val="single" w:sz="6" w:space="4" w:color="DFE0E1"/>
        </w:pBdr>
      </w:pPr>
      <w:r>
        <w:rPr>
          <w:rFonts w:ascii="Cambria" w:hAnsi="Cambria" w:eastAsia="Cambria" w:cs="Cambria"/>
          <w:b w:val="0"/>
          <w:i w:val="0"/>
          <w:color w:val="2E3338"/>
          <w:sz w:val="24"/>
        </w:rPr>
        <w:t>Next steps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Thirty-minute follow-up call with Helen on scale and safety</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Decision on the second stage by 23 October</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aps/>
          <w:color w:val="5F6B77"/>
          <w:sz w:val="15"/>
          <w:spacing w:val="30"/>
        </w:rPr>
        <w:t>Interview feedback</w:t>
      </w:r>
    </w:p>
    <w:p>
      <w:pPr>
        <w:spacing w:before="0" w:after="40"/>
      </w:pPr>
      <w:r>
        <w:rPr>
          <w:rFonts w:ascii="Cambria" w:hAnsi="Cambria" w:eastAsia="Cambria" w:cs="Cambria"/>
          <w:b w:val="0"/>
          <w:i w:val="0"/>
          <w:color w:val="2E3338"/>
          <w:sz w:val="46"/>
        </w:rPr>
        <w:t xml:space="preserve">Marcus Oyelaran</w:t>
      </w:r>
    </w:p>
    <w:p>
      <w:pPr>
        <w:spacing w:before="0" w:after="120"/>
      </w:pPr>
      <w:r>
        <w:rPr>
          <w:rFonts w:ascii="Calibri" w:hAnsi="Calibri" w:eastAsia="Calibri" w:cs="Calibri"/>
          <w:b/>
          <w:i w:val="0"/>
          <w:color w:val="5F6B77"/>
          <w:sz w:val="22"/>
        </w:rPr>
        <w:t xml:space="preserve">Head of Operations</w:t>
      </w:r>
      <w:r>
        <w:rPr>
          <w:rFonts w:ascii="Calibri" w:hAnsi="Calibri" w:eastAsia="Calibri" w:cs="Calibri"/>
          <w:b w:val="0"/>
          <w:i w:val="0"/>
          <w:color w:val="1F2226"/>
          <w:sz w:val="21"/>
        </w:rPr>
        <w:t xml:space="preserve">   ·   Marlow &amp; Reeve Logistics</w:t>
      </w:r>
    </w:p>
    <w:tbl>
      <w:tblPr>
        <w:tblLook w:firstColumn="1" w:firstRow="1" w:lastColumn="0" w:lastRow="0" w:noHBand="0" w:noVBand="1" w:val="04A0"/>
        <w:tblW w:w="9753"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3062"/>
        <w:gridCol w:w="227"/>
        <w:gridCol w:w="1701"/>
        <w:gridCol w:w="3062"/>
      </w:tblGrid>
      <w:tr>
        <w:trPr>
          <w:cantSplit/>
        </w:trPr>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Interviewer</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Helen Ashworth, Chief Operating Officer</w:t>
            </w:r>
          </w:p>
        </w:tc>
        <w:tc>
          <w:tcPr>
            <w:tcW w:type="dxa" w:w="227"/>
          </w:tcPr>
          <w:p/>
        </w:tc>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Interview stage</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First interview</w:t>
            </w:r>
          </w:p>
        </w:tc>
      </w:tr>
      <w:tr>
        <w:trPr>
          <w:cantSplit/>
        </w:trPr>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Date and format</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16 October 2026</w:t>
            </w:r>
          </w:p>
        </w:tc>
        <w:tc>
          <w:tcPr>
            <w:tcW w:type="dxa" w:w="227"/>
          </w:tcPr>
          <w:p/>
        </w:tc>
        <w:tc>
          <w:tcPr>
            <w:tcW w:type="dxa" w:w="1701"/>
            <w:tcBorders>
              <w:bottom w:val="single" w:sz="4" w:space="0" w:color="DFE0E1"/>
            </w:tcBorders>
            <w:tcMar>
              <w:top w:w="55" w:type="dxa"/>
              <w:left w:w="0" w:type="dxa"/>
              <w:bottom w:w="55" w:type="dxa"/>
              <w:right w:w="80" w:type="dxa"/>
            </w:tcMar>
            <w:vAlign w:val="center"/>
          </w:tcPr>
          <w:p>
            <w:r>
              <w:rPr>
                <w:rFonts w:ascii="Calibri" w:hAnsi="Calibri" w:eastAsia="Calibri" w:cs="Calibri"/>
                <w:b/>
                <w:i w:val="0"/>
                <w:caps/>
                <w:color w:val="6B6D70"/>
                <w:sz w:val="15"/>
                <w:spacing w:val="10"/>
              </w:rPr>
              <w:t>Feedback taken by</w:t>
            </w:r>
          </w:p>
        </w:tc>
        <w:tc>
          <w:tcPr>
            <w:tcW w:type="dxa" w:w="3062"/>
            <w:tcBorders>
              <w:bottom w:val="single" w:sz="4" w:space="0" w:color="DFE0E1"/>
            </w:tcBorders>
            <w:tcMar>
              <w:top w:w="55" w:type="dxa"/>
              <w:left w:w="0" w:type="dxa"/>
              <w:bottom w:w="55" w:type="dxa"/>
              <w:right w:w="80" w:type="dxa"/>
            </w:tcMar>
            <w:vAlign w:val="center"/>
          </w:tcPr>
          <w:p>
            <w:r>
              <w:rPr>
                <w:rFonts w:ascii="Calibri" w:hAnsi="Calibri" w:eastAsia="Calibri" w:cs="Calibri"/>
                <w:b/>
                <w:i w:val="0"/>
                <w:color w:val="2E3338"/>
                <w:sz w:val="19"/>
              </w:rPr>
              <w:t xml:space="preserve">Priya Raman</w:t>
            </w:r>
          </w:p>
        </w:tc>
      </w:tr>
    </w:tbl>
    <w:p>
      <w:pPr>
        <w:keepNext/>
        <w:spacing w:before="160" w:after="100"/>
        <w:pBdr>
          <w:bottom w:val="single" w:sz="6" w:space="4" w:color="DFE0E1"/>
        </w:pBdr>
      </w:pPr>
      <w:r>
        <w:rPr>
          <w:rFonts w:ascii="Cambria" w:hAnsi="Cambria" w:eastAsia="Cambria" w:cs="Cambria"/>
          <w:b w:val="0"/>
          <w:i w:val="0"/>
          <w:color w:val="2E3338"/>
          <w:sz w:val="24"/>
        </w:rPr>
        <w:t xml:space="preserve">Outcome</w:t>
      </w:r>
    </w:p>
    <w:tbl>
      <w:tblPr>
        <w:tblLook w:firstColumn="1" w:firstRow="1" w:lastColumn="0" w:lastRow="0" w:noHBand="0" w:noVBand="1" w:val="04A0"/>
        <w:tblW w:w="9751"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37"/>
        <w:gridCol w:w="170"/>
        <w:gridCol w:w="3137"/>
        <w:gridCol w:w="170"/>
        <w:gridCol w:w="3137"/>
      </w:tblGrid>
      <w:tr>
        <w:trPr>
          <w:cantSplit/>
        </w:trPr>
        <w:tc>
          <w:tcPr>
            <w:shd w:val="clear" w:color="auto" w:fill="F2F3F3"/>
            <w:tcW w:type="dxa" w:w="3137"/>
            <w:tcMar>
              <w:top w:w="110" w:type="dxa"/>
              <w:left w:w="160" w:type="dxa"/>
              <w:bottom w:w="110" w:type="dxa"/>
              <w:right w:w="160" w:type="dxa"/>
            </w:tcMar>
            <w:vAlign w:val="center"/>
          </w:tcPr>
          <w:p>
            <w:pPr>
              <w:spacing w:before="0" w:after="0"/>
              <w:jc w:val="center"/>
            </w:pPr>
            <w:r>
              <w:rPr>
                <w:rFonts w:ascii="Cambria" w:hAnsi="Cambria" w:eastAsia="Cambria" w:cs="Cambria"/>
                <w:b/>
                <w:i w:val="0"/>
                <w:color w:val="FFFFFF"/>
                <w:sz w:val="22"/>
              </w:rPr>
              <w:t xml:space="preserve"/>
            </w:r>
            <w:r>
              <w:rPr>
                <w:rFonts w:ascii="Cambria" w:hAnsi="Cambria" w:eastAsia="Cambria" w:cs="Cambria"/>
                <w:b w:val="0"/>
                <w:i w:val="0"/>
                <w:color w:val="6B6D70"/>
                <w:sz w:val="22"/>
              </w:rPr>
              <w:t xml:space="preserve">Proceed</w:t>
            </w:r>
          </w:p>
        </w:tc>
        <w:tc>
          <w:tcPr>
            <w:tcW w:type="dxa" w:w="170"/>
          </w:tcPr>
          <w:p/>
        </w:tc>
        <w:tc>
          <w:tcPr>
            <w:shd w:val="clear" w:color="auto" w:fill="F2F3F3"/>
            <w:tcW w:type="dxa" w:w="3137"/>
            <w:tcMar>
              <w:top w:w="110" w:type="dxa"/>
              <w:left w:w="160" w:type="dxa"/>
              <w:bottom w:w="110" w:type="dxa"/>
              <w:right w:w="160" w:type="dxa"/>
            </w:tcMar>
            <w:vAlign w:val="center"/>
          </w:tcPr>
          <w:p>
            <w:pPr>
              <w:spacing w:before="0" w:after="0"/>
              <w:jc w:val="center"/>
            </w:pPr>
            <w:r>
              <w:rPr>
                <w:rFonts w:ascii="Cambria" w:hAnsi="Cambria" w:eastAsia="Cambria" w:cs="Cambria"/>
                <w:b/>
                <w:i w:val="0"/>
                <w:color w:val="FFFFFF"/>
                <w:sz w:val="22"/>
              </w:rPr>
              <w:t xml:space="preserve"/>
            </w:r>
            <w:r>
              <w:rPr>
                <w:rFonts w:ascii="Cambria" w:hAnsi="Cambria" w:eastAsia="Cambria" w:cs="Cambria"/>
                <w:b w:val="0"/>
                <w:i w:val="0"/>
                <w:color w:val="6B6D70"/>
                <w:sz w:val="22"/>
              </w:rPr>
              <w:t xml:space="preserve">Hold</w:t>
            </w:r>
          </w:p>
        </w:tc>
        <w:tc>
          <w:tcPr>
            <w:tcW w:type="dxa" w:w="170"/>
          </w:tcPr>
          <w:p/>
        </w:tc>
        <w:tc>
          <w:tcPr>
            <w:shd w:val="clear" w:color="auto" w:fill="2E3338"/>
            <w:tcW w:type="dxa" w:w="3137"/>
            <w:tcMar>
              <w:top w:w="110" w:type="dxa"/>
              <w:left w:w="160" w:type="dxa"/>
              <w:bottom w:w="110" w:type="dxa"/>
              <w:right w:w="160" w:type="dxa"/>
            </w:tcMar>
            <w:vAlign w:val="center"/>
          </w:tcPr>
          <w:p>
            <w:pPr>
              <w:spacing w:before="0" w:after="0"/>
              <w:jc w:val="center"/>
            </w:pPr>
            <w:r>
              <w:rPr>
                <w:rFonts w:ascii="Cambria" w:hAnsi="Cambria" w:eastAsia="Cambria" w:cs="Cambria"/>
                <w:b/>
                <w:i w:val="0"/>
                <w:color w:val="FFFFFF"/>
                <w:sz w:val="22"/>
              </w:rPr>
              <w:t xml:space="preserve">✓  Decline</w:t>
            </w:r>
            <w:r>
              <w:rPr>
                <w:rFonts w:ascii="Cambria" w:hAnsi="Cambria" w:eastAsia="Cambria" w:cs="Cambria"/>
                <w:b w:val="0"/>
                <w:i w:val="0"/>
                <w:color w:val="6B6D70"/>
                <w:sz w:val="22"/>
              </w:rPr>
              <w:t xml:space="preserve"/>
            </w:r>
          </w:p>
        </w:tc>
      </w:tr>
    </w:tbl>
    <w:p>
      <w:pPr>
        <w:keepNext/>
        <w:spacing w:before="200" w:after="100"/>
        <w:pBdr>
          <w:bottom w:val="single" w:sz="6" w:space="4" w:color="DFE0E1"/>
        </w:pBdr>
      </w:pPr>
      <w:r>
        <w:rPr>
          <w:rFonts w:ascii="Cambria" w:hAnsi="Cambria" w:eastAsia="Cambria" w:cs="Cambria"/>
          <w:b w:val="0"/>
          <w:i w:val="0"/>
          <w:color w:val="2E3338"/>
          <w:sz w:val="24"/>
        </w:rPr>
        <w:t>Ratings against the criteria</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721"/>
        <w:gridCol w:w="1701"/>
        <w:gridCol w:w="5330"/>
      </w:tblGrid>
      <w:tr>
        <w:trPr>
          <w:tblHeader/>
          <w:cantSplit/>
        </w:trPr>
        <w:tc>
          <w:tcPr>
            <w:tcW w:type="dxa" w:w="2721"/>
            <w:shd w:val="clear" w:color="auto" w:fill="2E3338"/>
            <w:vAlign w:val="center"/>
            <w:tcMar>
              <w:top w:w="70" w:type="dxa"/>
              <w:left w:w="100" w:type="dxa"/>
              <w:bottom w:w="70" w:type="dxa"/>
              <w:right w:w="100" w:type="dxa"/>
            </w:tcMar>
          </w:tcPr>
          <w:p>
            <w:pPr>
              <w:keepNext/>
              <w:spacing w:before="0" w:after="0"/>
            </w:pPr>
            <w:r>
              <w:rPr>
                <w:rFonts w:ascii="Calibri" w:hAnsi="Calibri" w:eastAsia="Calibri" w:cs="Calibri"/>
                <w:b/>
                <w:i w:val="0"/>
                <w:caps/>
                <w:color w:val="FFFFFF"/>
                <w:sz w:val="14"/>
                <w:spacing w:val="15"/>
              </w:rPr>
              <w:t>Criterion</w:t>
            </w:r>
          </w:p>
        </w:tc>
        <w:tc>
          <w:tcPr>
            <w:tcW w:type="dxa" w:w="1701"/>
            <w:shd w:val="clear" w:color="auto" w:fill="2E3338"/>
            <w:vAlign w:val="center"/>
            <w:tcMar>
              <w:top w:w="70" w:type="dxa"/>
              <w:left w:w="100" w:type="dxa"/>
              <w:bottom w:w="70" w:type="dxa"/>
              <w:right w:w="100" w:type="dxa"/>
            </w:tcMar>
          </w:tcPr>
          <w:p>
            <w:pPr>
              <w:keepNext/>
              <w:spacing w:before="0" w:after="0"/>
            </w:pPr>
            <w:r>
              <w:rPr>
                <w:rFonts w:ascii="Calibri" w:hAnsi="Calibri" w:eastAsia="Calibri" w:cs="Calibri"/>
                <w:b/>
                <w:i w:val="0"/>
                <w:caps/>
                <w:color w:val="FFFFFF"/>
                <w:sz w:val="14"/>
                <w:spacing w:val="15"/>
              </w:rPr>
              <w:t>Rating</w:t>
            </w:r>
          </w:p>
        </w:tc>
        <w:tc>
          <w:tcPr>
            <w:tcW w:type="dxa" w:w="5330"/>
            <w:shd w:val="clear" w:color="auto" w:fill="2E3338"/>
            <w:vAlign w:val="center"/>
            <w:tcMar>
              <w:top w:w="70" w:type="dxa"/>
              <w:left w:w="100" w:type="dxa"/>
              <w:bottom w:w="70" w:type="dxa"/>
              <w:right w:w="100" w:type="dxa"/>
            </w:tcMar>
          </w:tcPr>
          <w:p>
            <w:pPr>
              <w:keepNext/>
              <w:spacing w:before="0" w:after="0"/>
            </w:pPr>
            <w:r>
              <w:rPr>
                <w:rFonts w:ascii="Calibri" w:hAnsi="Calibri" w:eastAsia="Calibri" w:cs="Calibri"/>
                <w:b/>
                <w:i w:val="0"/>
                <w:caps/>
                <w:color w:val="FFFFFF"/>
                <w:sz w:val="14"/>
                <w:spacing w:val="15"/>
              </w:rPr>
              <w:t>Interviewer’s comment</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Multi-site warehouse leadership</w:t>
            </w:r>
          </w:p>
        </w:tc>
        <w:tc>
          <w:tcPr>
            <w:shd w:val="clear" w:color="auto" w:fill="5F6B77"/>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Meets</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Solid background running regional distribution centres for a grocery retailer.</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S&amp;OP and planning discipline</w:t>
            </w:r>
          </w:p>
        </w:tc>
        <w:tc>
          <w:tcPr>
            <w:shd w:val="clear" w:color="auto" w:fill="6E7071"/>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Does not meet</w:t>
            </w:r>
            <w:r>
              <w:rPr>
                <w:rFonts w:ascii="Calibri" w:hAnsi="Calibri" w:eastAsia="Calibri" w:cs="Calibri"/>
                <w:b w:val="0"/>
                <w:i/>
                <w:color w:val="6B6D70"/>
                <w:sz w:val="17"/>
              </w:rPr>
              <w:t xml:space="preserve"/>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Planning sits with a central team in his current business and he could not give a direct example.</w:t>
            </w:r>
          </w:p>
        </w:tc>
      </w:tr>
      <w:tr>
        <w:trPr>
          <w:cantSplit/>
        </w:trPr>
        <w:tc>
          <w:tcPr>
            <w:tcW w:type="dxa" w:w="2721"/>
            <w:tcBorders>
              <w:bottom w:val="single" w:sz="4" w:space="0" w:color="DFE0E1"/>
            </w:tcBorders>
            <w:vAlign w:val="center"/>
            <w:tcMar>
              <w:top w:w="55" w:type="dxa"/>
              <w:left w:w="100" w:type="dxa"/>
              <w:bottom w:w="55" w:type="dxa"/>
              <w:right w:w="100" w:type="dxa"/>
            </w:tcMar>
          </w:tcPr>
          <w:p>
            <w:r>
              <w:rPr>
                <w:rFonts w:ascii="Calibri" w:hAnsi="Calibri" w:eastAsia="Calibri" w:cs="Calibri"/>
                <w:b/>
                <w:i w:val="0"/>
                <w:color w:val="2E3338"/>
                <w:sz w:val="18"/>
              </w:rPr>
              <w:t xml:space="preserve">Change and automation</w:t>
            </w:r>
          </w:p>
        </w:tc>
        <w:tc>
          <w:tcPr>
            <w:shd w:val="clear" w:color="auto" w:fill="F2F3F3"/>
            <w:tcW w:type="dxa" w:w="1701"/>
            <w:tcBorders>
              <w:top w:val="single" w:sz="18" w:space="0" w:color="FFFFFF"/>
              <w:left w:val="single" w:sz="18" w:space="0" w:color="FFFFFF"/>
              <w:bottom w:val="single" w:sz="4" w:space="0" w:color="DFE0E1"/>
              <w:right w:val="single" w:sz="18" w:space="0" w:color="FFFFFF"/>
            </w:tcBorders>
            <w:tcMar>
              <w:top w:w="60" w:type="dxa"/>
              <w:left w:w="80" w:type="dxa"/>
              <w:bottom w:w="60" w:type="dxa"/>
              <w:right w:w="80" w:type="dxa"/>
            </w:tcMar>
            <w:vAlign w:val="center"/>
          </w:tcPr>
          <w:p>
            <w:pPr>
              <w:spacing w:before="0" w:after="0"/>
              <w:jc w:val="center"/>
            </w:pPr>
            <w:r>
              <w:rPr>
                <w:rFonts w:ascii="Calibri" w:hAnsi="Calibri" w:eastAsia="Calibri" w:cs="Calibri"/>
                <w:b/>
                <w:i w:val="0"/>
                <w:color w:val="FFFFFF"/>
                <w:sz w:val="17"/>
              </w:rPr>
              <w:t xml:space="preserve"/>
            </w:r>
            <w:r>
              <w:rPr>
                <w:rFonts w:ascii="Calibri" w:hAnsi="Calibri" w:eastAsia="Calibri" w:cs="Calibri"/>
                <w:b w:val="0"/>
                <w:i/>
                <w:color w:val="6B6D70"/>
                <w:sz w:val="17"/>
              </w:rPr>
              <w:t xml:space="preserve">Not rated</w:t>
            </w:r>
          </w:p>
        </w:tc>
        <w:tc>
          <w:tcPr>
            <w:tcW w:type="dxa" w:w="5330"/>
            <w:tcBorders>
              <w:bottom w:val="single" w:sz="4" w:space="0" w:color="DFE0E1"/>
            </w:tcBorders>
            <w:vAlign w:val="center"/>
            <w:tcMar>
              <w:top w:w="55" w:type="dxa"/>
              <w:left w:w="100" w:type="dxa"/>
              <w:bottom w:w="55" w:type="dxa"/>
              <w:right w:w="100" w:type="dxa"/>
            </w:tcMar>
          </w:tcPr>
          <w:p>
            <w:r>
              <w:rPr>
                <w:rFonts w:ascii="Calibri" w:hAnsi="Calibri" w:eastAsia="Calibri" w:cs="Calibri"/>
                <w:b w:val="0"/>
                <w:i w:val="0"/>
                <w:sz w:val="17"/>
              </w:rPr>
              <w:t xml:space="preserve">Not discussed in the time available.</w:t>
            </w:r>
          </w:p>
        </w:tc>
      </w:tr>
    </w:tbl>
    <w:p>
      <w:pPr>
        <w:spacing w:before="80" w:after="0"/>
      </w:pPr>
      <w:r>
        <w:rPr>
          <w:rFonts w:ascii="Calibri" w:hAnsi="Calibri" w:eastAsia="Calibri" w:cs="Calibri"/>
          <w:b w:val="0"/>
          <w:i w:val="0"/>
          <w:color w:val="6B6D70"/>
          <w:sz w:val="15"/>
        </w:rPr>
        <w:t>Rating scale:  Exceeds  ·  Meets  ·  Partly meets  ·  Does not meet  ·  Not rated (the interviewer gave no view)</w:t>
      </w:r>
    </w:p>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77"/>
        <w:gridCol w:w="198"/>
        <w:gridCol w:w="4777"/>
      </w:tblGrid>
      <w:tr>
        <w:trPr>
          <w:cantSplit/>
        </w:trPr>
        <w:tc>
          <w:tcPr>
            <w:tcW w:type="dxa" w:w="4777"/>
            <w:vAlign w:val="top"/>
            <w:shd w:val="clear" w:color="auto" w:fill="F2F3F3"/>
            <w:tcBorders>
              <w:top w:val="single" w:sz="24" w:space="0" w:color="2E3338"/>
            </w:tcBorders>
            <w:tcMar>
              <w:top w:w="110" w:type="dxa"/>
              <w:left w:w="200" w:type="dxa"/>
              <w:bottom w:w="120" w:type="dxa"/>
              <w:right w:w="200" w:type="dxa"/>
            </w:tcMar>
          </w:tcPr>
          <w:p>
            <w:pPr>
              <w:spacing w:before="0" w:after="80"/>
            </w:pPr>
            <w:r>
              <w:rPr>
                <w:rFonts w:ascii="Cambria" w:hAnsi="Cambria" w:eastAsia="Cambria" w:cs="Cambria"/>
                <w:b w:val="0"/>
                <w:i w:val="0"/>
                <w:color w:val="2E3338"/>
                <w:sz w:val="23"/>
              </w:rPr>
              <w:t>What went well</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Warm, credible people leader with a loyal team</w:t>
            </w:r>
          </w:p>
          <w:p>
            <w:pPr>
              <w:spacing w:before="0" w:after="0" w:line="2" w:lineRule="exact"/>
            </w:pPr>
            <w:r>
              <w:rPr>
                <w:rFonts w:ascii="Calibri" w:hAnsi="Calibri" w:eastAsia="Calibri" w:cs="Calibri"/>
                <w:b w:val="0"/>
                <w:i w:val="0"/>
                <w:sz w:val="2"/>
              </w:rPr>
            </w:r>
          </w:p>
        </w:tc>
        <w:tc>
          <w:tcPr>
            <w:tcW w:type="dxa" w:w="198"/>
          </w:tcPr>
          <w:p/>
        </w:tc>
        <w:tc>
          <w:tcPr>
            <w:tcW w:type="dxa" w:w="4777"/>
            <w:vAlign w:val="top"/>
            <w:shd w:val="clear" w:color="auto" w:fill="F2F3F3"/>
            <w:tcBorders>
              <w:top w:val="single" w:sz="24" w:space="0" w:color="5F6B77"/>
            </w:tcBorders>
            <w:tcMar>
              <w:top w:w="110" w:type="dxa"/>
              <w:left w:w="200" w:type="dxa"/>
              <w:bottom w:w="120" w:type="dxa"/>
              <w:right w:w="200" w:type="dxa"/>
            </w:tcMar>
          </w:tcPr>
          <w:p>
            <w:pPr>
              <w:spacing w:before="0" w:after="80"/>
            </w:pPr>
            <w:r>
              <w:rPr>
                <w:rFonts w:ascii="Cambria" w:hAnsi="Cambria" w:eastAsia="Cambria" w:cs="Cambria"/>
                <w:b w:val="0"/>
                <w:i w:val="0"/>
                <w:color w:val="2E3338"/>
                <w:sz w:val="23"/>
              </w:rPr>
              <w:t>Concerns raised</w:t>
            </w:r>
          </w:p>
          <w:p>
            <w:pPr>
              <w:tabs>
                <w:tab w:pos="238" w:val="left"/>
              </w:tabs>
              <w:spacing w:before="40" w:after="2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No direct ownership of planning, which is central to this role</w:t>
            </w:r>
          </w:p>
          <w:p>
            <w:pPr>
              <w:spacing w:before="0" w:after="0" w:line="2" w:lineRule="exact"/>
            </w:pPr>
            <w:r>
              <w:rPr>
                <w:rFonts w:ascii="Calibri" w:hAnsi="Calibri" w:eastAsia="Calibri" w:cs="Calibri"/>
                <w:b w:val="0"/>
                <w:i w:val="0"/>
                <w:sz w:val="2"/>
              </w:rPr>
            </w:r>
          </w:p>
        </w:tc>
      </w:tr>
    </w:tbl>
    <w:p>
      <w:pPr>
        <w:keepNext/>
        <w:spacing w:before="200" w:after="100"/>
        <w:pBdr>
          <w:bottom w:val="single" w:sz="6" w:space="4" w:color="DFE0E1"/>
        </w:pBdr>
      </w:pPr>
      <w:r>
        <w:rPr>
          <w:rFonts w:ascii="Cambria" w:hAnsi="Cambria" w:eastAsia="Cambria" w:cs="Cambria"/>
          <w:b w:val="0"/>
          <w:i w:val="0"/>
          <w:color w:val="2E3338"/>
          <w:sz w:val="24"/>
        </w:rPr>
        <w:t>Feedback for the candidate</w:t>
      </w:r>
    </w:p>
    <w:tbl>
      <w:tblPr>
        <w:tblLook w:firstColumn="1" w:firstRow="1" w:lastColumn="0" w:lastRow="0" w:noHBand="0" w:noVBand="1" w:val="04A0"/>
        <w:tblW w:w="9752" w:type="dxa"/>
        <w:jc w:val="left"/>
        <w:tblInd w:w="22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tcBorders>
              <w:top w:val="single" w:sz="4" w:space="0" w:color="DFE0E1"/>
              <w:left w:val="single" w:sz="24" w:space="0" w:color="2E3338"/>
              <w:bottom w:val="single" w:sz="4" w:space="0" w:color="DFE0E1"/>
              <w:right w:val="single" w:sz="4" w:space="0" w:color="DFE0E1"/>
            </w:tcBorders>
            <w:tcMar>
              <w:top w:w="120" w:type="dxa"/>
              <w:left w:w="220" w:type="dxa"/>
              <w:bottom w:w="140" w:type="dxa"/>
              <w:right w:w="220" w:type="dxa"/>
            </w:tcMar>
          </w:tcPr>
          <w:p>
            <w:pPr>
              <w:spacing w:before="0" w:after="60"/>
            </w:pPr>
            <w:r>
              <w:rPr>
                <w:rFonts w:ascii="Calibri" w:hAnsi="Calibri" w:eastAsia="Calibri" w:cs="Calibri"/>
                <w:b/>
                <w:i w:val="0"/>
                <w:caps/>
                <w:color w:val="5F6B77"/>
                <w:sz w:val="14"/>
                <w:spacing w:val="30"/>
              </w:rPr>
              <w:t>Agreed wording to pass on</w:t>
            </w:r>
          </w:p>
          <w:p>
            <w:pPr>
              <w:spacing w:before="0" w:after="0"/>
              <w:jc w:val="both"/>
            </w:pPr>
            <w:r>
              <w:rPr>
                <w:rFonts w:ascii="Calibri" w:hAnsi="Calibri" w:eastAsia="Calibri" w:cs="Calibri"/>
                <w:b w:val="0"/>
                <w:i w:val="0"/>
                <w:sz w:val="19"/>
              </w:rPr>
              <w:t xml:space="preserve">Helen appreciated Marcus's time and his clear people leadership. She has decided not to take his application further because the role needs direct ownership of planning and S&amp;OP, which his current role does not include.</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07" w:right="1077" w:bottom="794" w:left="1077"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Feedback recorded by the recruiter from the interviewer, in the interviewer’s words. Confidential to the hiring team.</w:t>
    </w:r>
  </w:p>
  <w:p>
    <w:pPr>
      <w:tabs>
        <w:tab w:pos="9752"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752"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Interview feedback  ·  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Feedback Form</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