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865" w:type="dxa"/>
        <w:jc w:val="left"/>
        <w:tblInd w:w="4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51"/>
        <w:gridCol w:w="1247"/>
        <w:gridCol w:w="2551"/>
        <w:gridCol w:w="1757"/>
        <w:gridCol w:w="1759"/>
      </w:tblGrid>
      <w:tr>
        <w:tc>
          <w:tcPr>
            <w:tcW w:type="dxa" w:w="9865"/>
            <w:gridSpan w:val="5"/>
            <w:shd w:val="clear" w:color="auto" w:fill="2E3338"/>
            <w:tcMar>
              <w:top w:w="280" w:type="dxa"/>
              <w:left w:w="400" w:type="dxa"/>
              <w:bottom w:w="260" w:type="dxa"/>
              <w:right w:w="1930" w:type="dxa"/>
            </w:tcMar>
          </w:tcPr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979FA7"/>
                <w:sz w:val="16"/>
                <w:spacing w:val="30"/>
              </w:rPr>
              <w:t>Interim management profile</w:t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4804941</wp:posOffset>
                  </wp:positionH>
                  <wp:positionV relativeFrom="paragraph">
                    <wp:posOffset>-51777</wp:posOffset>
                  </wp:positionV>
                  <wp:extent cx="1080000" cy="1080000"/>
                  <wp:effectExtent l="0" t="0" r="0" b="0"/>
                  <wp:wrapNone/>
                  <wp:docPr id="1001" name="Candidate photo 90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0" w:line="240" w:lineRule="auto"/>
                                <w:jc w:val="center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z w:val="2"/>
                                </w:rPr>
                                <w:t xml:space="preserve"/>
                              </w:r>
                              <w:r>
                                <w:drawing>
                                  <wp:inline xmlns:pic="http://schemas.openxmlformats.org/drawingml/2006/picture">
                                    <wp:extent cx="1080000" cy="1080000"/>
                                    <wp:docPr id="1002" name="Picture 903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daniel-okafor.jp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80000" cy="10800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</wp:anchor>
              </w:drawing>
            </w:r>
            <w:r>
              <w:rPr>
                <w:rFonts w:ascii="Calibri" w:hAnsi="Calibri" w:eastAsia="Calibri" w:cs="Calibri"/>
                <w:b w:val="0"/>
                <w:i w:val="0"/>
                <w:sz w:val="2"/>
              </w:rPr>
              <w:t xml:space="preserve"/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C4C6C7"/>
                <w:sz w:val="18"/>
              </w:rPr>
              <w:t xml:space="preserve">Proposed for Interim Chief Financial Officer  ·  Halden Group</w:t>
            </w:r>
          </w:p>
          <w:p>
            <w:pPr>
              <w:spacing w:before="120" w:after="60"/>
            </w:pPr>
            <w:r>
              <w:rPr>
                <w:rFonts w:ascii="Cambria" w:hAnsi="Cambria" w:eastAsia="Cambria" w:cs="Cambria"/>
                <w:b w:val="0"/>
                <w:i w:val="0"/>
                <w:color w:val="FFFFFF"/>
                <w:sz w:val="52"/>
              </w:rPr>
              <w:t xml:space="preserve">Daniel Okafor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 xml:space="preserve">Interim Chief Financial Officer</w:t>
            </w:r>
            <w:r>
              <w:rPr>
                <w:rFonts w:ascii="Calibri" w:hAnsi="Calibri" w:eastAsia="Calibri" w:cs="Calibri"/>
                <w:b w:val="0"/>
                <w:i w:val="0"/>
                <w:color w:val="C4C6C7"/>
                <w:sz w:val="20"/>
              </w:rPr>
              <w:t xml:space="preserve">  ·  Marlow &amp; Reeve Logistics  ·  Birmingham, UK</w:t>
            </w:r>
          </w:p>
          <w:p>
            <w:pPr>
              <w:spacing w:before="180" w:after="0"/>
              <w:pBdr>
                <w:top w:val="single" w:sz="6" w:space="7" w:color="62666A"/>
              </w:pBdr>
            </w:pPr>
            <w:r>
              <w:rPr>
                <w:rFonts w:ascii="Cambria" w:hAnsi="Cambria" w:eastAsia="Cambria" w:cs="Cambria"/>
                <w:b w:val="0"/>
                <w:i/>
                <w:color w:val="FFFFFF"/>
                <w:sz w:val="22"/>
              </w:rPr>
              <w:t xml:space="preserve">Interim CFO for private-equity-backed turnarounds, carve-outs and refinancings in logistics and industrial businesses</w:t>
            </w:r>
          </w:p>
        </w:tc>
      </w:tr>
      <w:tr>
        <w:tc>
          <w:tcPr>
            <w:tcW w:type="dxa" w:w="2551"/>
            <w:shd w:val="clear" w:color="auto" w:fill="F1F2F3"/>
            <w:vAlign w:val="top"/>
            <w:tcBorders>
              <w:bottom w:val="single" w:sz="18" w:space="0" w:color="5F6B77"/>
            </w:tcBorders>
            <w:tcMar>
              <w:top w:w="140" w:type="dxa"/>
              <w:left w:w="400" w:type="dxa"/>
              <w:bottom w:w="14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20"/>
              </w:rPr>
              <w:t>Availability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From 1 November 2026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/>
            </w:r>
          </w:p>
        </w:tc>
        <w:tc>
          <w:tcPr>
            <w:tcW w:type="dxa" w:w="1247"/>
            <w:shd w:val="clear" w:color="auto" w:fill="F1F2F3"/>
            <w:vAlign w:val="top"/>
            <w:tcBorders>
              <w:bottom w:val="single" w:sz="18" w:space="0" w:color="5F6B7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20"/>
              </w:rPr>
              <w:t>Notice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4 weeks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/>
            </w:r>
          </w:p>
        </w:tc>
        <w:tc>
          <w:tcPr>
            <w:tcW w:type="dxa" w:w="2551"/>
            <w:shd w:val="clear" w:color="auto" w:fill="F1F2F3"/>
            <w:vAlign w:val="top"/>
            <w:tcBorders>
              <w:bottom w:val="single" w:sz="18" w:space="0" w:color="5F6B7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20"/>
              </w:rPr>
              <w:t>Location and mobility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Birmingham · UK-wide, 4 days on site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/>
            </w:r>
          </w:p>
        </w:tc>
        <w:tc>
          <w:tcPr>
            <w:tcW w:type="dxa" w:w="1757"/>
            <w:shd w:val="clear" w:color="auto" w:fill="F1F2F3"/>
            <w:vAlign w:val="top"/>
            <w:tcBorders>
              <w:bottom w:val="single" w:sz="18" w:space="0" w:color="5F6B7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20"/>
              </w:rPr>
              <w:t>Engagement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Interim, full time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/>
            </w:r>
          </w:p>
        </w:tc>
        <w:tc>
          <w:tcPr>
            <w:tcW w:type="dxa" w:w="1759"/>
            <w:shd w:val="clear" w:color="auto" w:fill="F1F2F3"/>
            <w:vAlign w:val="top"/>
            <w:tcBorders>
              <w:bottom w:val="single" w:sz="18" w:space="0" w:color="5F6B7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20"/>
              </w:rPr>
              <w:t>Day rate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£1,450 per day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/>
            </w:r>
          </w:p>
        </w:tc>
      </w:tr>
    </w:tbl>
    <w:p>
      <w:pPr>
        <w:keepNext/>
        <w:spacing w:before="280" w:after="12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8"/>
        </w:rPr>
        <w:t>Executive summary</w:t>
      </w:r>
    </w:p>
    <w:p>
      <w:pPr>
        <w:spacing w:before="0" w:after="0"/>
        <w:jc w:val="both"/>
      </w:pPr>
      <w:r>
        <w:rPr>
          <w:rFonts w:ascii="Calibri" w:hAnsi="Calibri" w:eastAsia="Calibri" w:cs="Calibri"/>
          <w:b w:val="0"/>
          <w:i w:val="0"/>
          <w:sz w:val="19"/>
        </w:rPr>
        <w:t xml:space="preserve">Daniel is a chartered accountant and interim CFO who has spent the last nine years leading finance through turnarounds, carve-outs and refinancings for private-equity-backed and listed businesses. His assignments typically last six to twelve months and start with a cash and forecasting reset, followed by a lender or investor event. Before moving into interim work he was Group Finance Director of Stratton Rail Freight, with full P&amp;L oversight of a £410m business. He is known for rebuilding lender confidence quickly and leaving a stronger permanent team behind.</w:t>
      </w:r>
    </w:p>
    <w:p>
      <w:pPr>
        <w:keepNext/>
        <w:spacing w:before="280" w:after="12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8"/>
        </w:rPr>
        <w:t>Key interim assignments</w:t>
      </w:r>
    </w:p>
    <w:tbl>
      <w:tblPr>
        <w:tblLook w:firstColumn="1" w:firstRow="1" w:lastColumn="0" w:lastRow="0" w:noHBand="0" w:noVBand="1" w:val="04A0"/>
        <w:tblW w:w="9866" w:type="dxa"/>
        <w:jc w:val="left"/>
        <w:tblInd w:w="2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324"/>
        <w:gridCol w:w="7542"/>
      </w:tblGrid>
      <w:tr>
        <w:trPr>
          <w:cantSplit/>
        </w:trPr>
        <w:tc>
          <w:tcPr>
            <w:tcW w:type="dxa" w:w="2324"/>
            <w:shd w:val="clear" w:color="auto" w:fill="F2F3F3"/>
            <w:vAlign w:val="top"/>
            <w:tcBorders>
              <w:top w:val="single" w:sz="12" w:space="0" w:color="FFFFFF"/>
              <w:left w:val="single" w:sz="36" w:space="0" w:color="5F6B77"/>
              <w:bottom w:val="single" w:sz="12" w:space="0" w:color="FFFFFF"/>
            </w:tcBorders>
            <w:tcMar>
              <w:top w:w="140" w:type="dxa"/>
              <w:left w:w="200" w:type="dxa"/>
              <w:bottom w:w="150" w:type="dxa"/>
              <w:right w:w="160" w:type="dxa"/>
            </w:tcMar>
          </w:tcPr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4"/>
              </w:rPr>
              <w:t xml:space="preserve">01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Feb 2026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8 months</w:t>
            </w:r>
          </w:p>
          <w:p>
            <w:pPr>
              <w:spacing w:before="200" w:after="0"/>
              <w:pBdr>
                <w:top w:val="single" w:sz="6" w:space="6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2"/>
              </w:rPr>
              <w:t xml:space="preserve">£18m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6"/>
              </w:rPr>
              <w:t xml:space="preserve">working capital released</w:t>
            </w:r>
          </w:p>
        </w:tc>
        <w:tc>
          <w:tcPr>
            <w:tcW w:type="dxa" w:w="7542"/>
            <w:vAlign w:val="top"/>
            <w:tcBorders>
              <w:top w:val="single" w:sz="12" w:space="0" w:color="FFFFFF"/>
              <w:bottom w:val="single" w:sz="4" w:space="0" w:color="DFE0E1"/>
            </w:tcBorders>
            <w:tcMar>
              <w:top w:w="140" w:type="dxa"/>
              <w:left w:w="260" w:type="dxa"/>
              <w:bottom w:w="170" w:type="dxa"/>
              <w:right w:w="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2"/>
              </w:rPr>
              <w:t xml:space="preserve">Interim Chief Financial Officer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9"/>
              </w:rPr>
              <w:t xml:space="preserve">Marlow &amp; Reeve Logistics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   ·   PE-backed, £420m revenue</w:t>
            </w:r>
          </w:p>
          <w:p>
            <w:pPr>
              <w:keepNext/>
              <w:spacing w:before="10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The brief  </w:t>
            </w:r>
            <w:r>
              <w:rPr>
                <w:rFonts w:ascii="Calibri" w:hAnsi="Calibri" w:eastAsia="Calibri" w:cs="Calibri"/>
                <w:b w:val="0"/>
                <w:i/>
                <w:color w:val="1F2226"/>
                <w:sz w:val="18"/>
              </w:rPr>
              <w:t xml:space="preserve">Stabilise cash and forecasting after a covenant breach and lead the refinancing of a £160m facility.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Refinanced the £160m facility on improved terms, eight weeks ahead of the lender deadline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Released £18m of working capital through a 13-week cash programme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Recruited and onboarded the permanent Group Financial Controller</w:t>
            </w:r>
          </w:p>
        </w:tc>
      </w:tr>
      <w:tr>
        <w:trPr>
          <w:cantSplit/>
        </w:trPr>
        <w:tc>
          <w:tcPr>
            <w:tcW w:type="dxa" w:w="2324"/>
            <w:shd w:val="clear" w:color="auto" w:fill="F2F3F3"/>
            <w:vAlign w:val="top"/>
            <w:tcBorders>
              <w:top w:val="single" w:sz="12" w:space="0" w:color="FFFFFF"/>
              <w:left w:val="single" w:sz="36" w:space="0" w:color="5F6B77"/>
              <w:bottom w:val="single" w:sz="12" w:space="0" w:color="FFFFFF"/>
            </w:tcBorders>
            <w:tcMar>
              <w:top w:w="140" w:type="dxa"/>
              <w:left w:w="200" w:type="dxa"/>
              <w:bottom w:w="150" w:type="dxa"/>
              <w:right w:w="160" w:type="dxa"/>
            </w:tcMar>
          </w:tcPr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4"/>
              </w:rPr>
              <w:t xml:space="preserve">02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Mar 2025 – Jan 2026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11 months</w:t>
            </w:r>
          </w:p>
          <w:p>
            <w:pPr>
              <w:spacing w:before="200" w:after="0"/>
              <w:pBdr>
                <w:top w:val="single" w:sz="6" w:space="6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2"/>
              </w:rPr>
              <w:t xml:space="preserve">9.2x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6"/>
              </w:rPr>
              <w:t xml:space="preserve">EBITDA exit multiple</w:t>
            </w:r>
          </w:p>
        </w:tc>
        <w:tc>
          <w:tcPr>
            <w:tcW w:type="dxa" w:w="7542"/>
            <w:vAlign w:val="top"/>
            <w:tcBorders>
              <w:top w:val="single" w:sz="12" w:space="0" w:color="FFFFFF"/>
              <w:bottom w:val="single" w:sz="4" w:space="0" w:color="DFE0E1"/>
            </w:tcBorders>
            <w:tcMar>
              <w:top w:w="140" w:type="dxa"/>
              <w:left w:w="260" w:type="dxa"/>
              <w:bottom w:w="170" w:type="dxa"/>
              <w:right w:w="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2"/>
              </w:rPr>
              <w:t xml:space="preserve">Interim Finance Director, Carve-out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9"/>
              </w:rPr>
              <w:t xml:space="preserve">Corran Foods plc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   ·   Listed, chilled foods division</w:t>
            </w:r>
          </w:p>
          <w:p>
            <w:pPr>
              <w:keepNext/>
              <w:spacing w:before="10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The brief  </w:t>
            </w:r>
            <w:r>
              <w:rPr>
                <w:rFonts w:ascii="Calibri" w:hAnsi="Calibri" w:eastAsia="Calibri" w:cs="Calibri"/>
                <w:b w:val="0"/>
                <w:i/>
                <w:color w:val="1F2226"/>
                <w:sz w:val="18"/>
              </w:rPr>
              <w:t xml:space="preserve">Separate the £230m chilled foods division and stand up a standalone finance function for its sale.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Delivered carve-out accounts and the vendor data room on schedule for a sale in 11 months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Set up standalone finance, payroll and treasury with 22 new hires and no service gaps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Supported the sale to Brookmere Capital at 9.2x EBITDA</w:t>
            </w:r>
          </w:p>
        </w:tc>
      </w:tr>
      <w:tr>
        <w:trPr>
          <w:cantSplit/>
        </w:trPr>
        <w:tc>
          <w:tcPr>
            <w:tcW w:type="dxa" w:w="2324"/>
            <w:shd w:val="clear" w:color="auto" w:fill="F2F3F3"/>
            <w:vAlign w:val="top"/>
            <w:tcBorders>
              <w:top w:val="single" w:sz="12" w:space="0" w:color="FFFFFF"/>
              <w:left w:val="single" w:sz="36" w:space="0" w:color="5F6B77"/>
              <w:bottom w:val="single" w:sz="12" w:space="0" w:color="FFFFFF"/>
            </w:tcBorders>
            <w:tcMar>
              <w:top w:w="140" w:type="dxa"/>
              <w:left w:w="200" w:type="dxa"/>
              <w:bottom w:w="150" w:type="dxa"/>
              <w:right w:w="160" w:type="dxa"/>
            </w:tcMar>
          </w:tcPr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4"/>
              </w:rPr>
              <w:t xml:space="preserve">03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Jan 2024 – Feb 2025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14 months</w:t>
            </w:r>
          </w:p>
          <w:p>
            <w:pPr>
              <w:spacing w:before="200" w:after="0"/>
              <w:pBdr>
                <w:top w:val="single" w:sz="6" w:space="6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2"/>
              </w:rPr>
              <w:t xml:space="preserve">+4.3 pts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6"/>
              </w:rPr>
              <w:t xml:space="preserve">EBITDA margin</w:t>
            </w:r>
          </w:p>
        </w:tc>
        <w:tc>
          <w:tcPr>
            <w:tcW w:type="dxa" w:w="7542"/>
            <w:vAlign w:val="top"/>
            <w:tcBorders>
              <w:top w:val="single" w:sz="12" w:space="0" w:color="FFFFFF"/>
              <w:bottom w:val="single" w:sz="4" w:space="0" w:color="DFE0E1"/>
            </w:tcBorders>
            <w:tcMar>
              <w:top w:w="140" w:type="dxa"/>
              <w:left w:w="260" w:type="dxa"/>
              <w:bottom w:w="170" w:type="dxa"/>
              <w:right w:w="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2"/>
              </w:rPr>
              <w:t xml:space="preserve">Interim Chief Financial Officer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9"/>
              </w:rPr>
              <w:t xml:space="preserve">Harbourline Distribution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   ·   PE-backed, £310m revenue</w:t>
            </w:r>
          </w:p>
          <w:p>
            <w:pPr>
              <w:keepNext/>
              <w:spacing w:before="10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The brief  </w:t>
            </w:r>
            <w:r>
              <w:rPr>
                <w:rFonts w:ascii="Calibri" w:hAnsi="Calibri" w:eastAsia="Calibri" w:cs="Calibri"/>
                <w:b w:val="0"/>
                <w:i/>
                <w:color w:val="1F2226"/>
                <w:sz w:val="18"/>
              </w:rPr>
              <w:t xml:space="preserve">Lead finance through an operational turnaround and replace a failing ERP implementation.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Returned EBITDA margin from 3.1% to 7.4% within 12 months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Re-planned and delivered the ERP go-live across 11 sites, £1.2m under the revised budget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Reduced the monthly close from 12 to 6 working days</w:t>
            </w:r>
          </w:p>
        </w:tc>
      </w:tr>
      <w:tr>
        <w:trPr>
          <w:cantSplit/>
        </w:trPr>
        <w:tc>
          <w:tcPr>
            <w:tcW w:type="dxa" w:w="2324"/>
            <w:shd w:val="clear" w:color="auto" w:fill="F2F3F3"/>
            <w:vAlign w:val="top"/>
            <w:tcBorders>
              <w:top w:val="single" w:sz="12" w:space="0" w:color="FFFFFF"/>
              <w:left w:val="single" w:sz="36" w:space="0" w:color="5F6B77"/>
              <w:bottom w:val="single" w:sz="12" w:space="0" w:color="FFFFFF"/>
            </w:tcBorders>
            <w:tcMar>
              <w:top w:w="140" w:type="dxa"/>
              <w:left w:w="200" w:type="dxa"/>
              <w:bottom w:w="150" w:type="dxa"/>
              <w:right w:w="160" w:type="dxa"/>
            </w:tcMar>
          </w:tcPr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5F6B77"/>
                <w:sz w:val="34"/>
              </w:rPr>
              <w:t xml:space="preserve">04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Apr 2023 – Dec 2023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9 months</w:t>
            </w:r>
          </w:p>
          <w:p>
            <w:pPr>
              <w:spacing w:before="200" w:after="0"/>
              <w:pBdr>
                <w:top w:val="single" w:sz="6" w:space="6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2"/>
              </w:rPr>
              <w:t xml:space="preserve">6 days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6"/>
              </w:rPr>
              <w:t xml:space="preserve">faster monthly close</w:t>
            </w:r>
          </w:p>
        </w:tc>
        <w:tc>
          <w:tcPr>
            <w:tcW w:type="dxa" w:w="7542"/>
            <w:vAlign w:val="top"/>
            <w:tcBorders>
              <w:top w:val="single" w:sz="12" w:space="0" w:color="FFFFFF"/>
              <w:bottom w:val="single" w:sz="4" w:space="0" w:color="DFE0E1"/>
            </w:tcBorders>
            <w:tcMar>
              <w:top w:w="140" w:type="dxa"/>
              <w:left w:w="260" w:type="dxa"/>
              <w:bottom w:w="170" w:type="dxa"/>
              <w:right w:w="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2"/>
              </w:rPr>
              <w:t xml:space="preserve">Interim Group Financial Controller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9"/>
              </w:rPr>
              <w:t xml:space="preserve">Kestrel Freight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   ·   Family-owned, £180m revenue</w:t>
            </w:r>
          </w:p>
          <w:p>
            <w:pPr>
              <w:keepNext/>
              <w:spacing w:before="100" w:after="2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The brief  </w:t>
            </w:r>
            <w:r>
              <w:rPr>
                <w:rFonts w:ascii="Calibri" w:hAnsi="Calibri" w:eastAsia="Calibri" w:cs="Calibri"/>
                <w:b w:val="0"/>
                <w:i/>
                <w:color w:val="1F2226"/>
                <w:sz w:val="18"/>
              </w:rPr>
              <w:t xml:space="preserve">Rebuild month-end reporting and controls ahead of the group's first external audit under new owners.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Achieved a clean audit opinion with no material weaknesses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Introduced rolling forecasts adopted by the board as its main management tool</w:t>
            </w:r>
          </w:p>
        </w:tc>
      </w:tr>
    </w:tbl>
    <w:p>
      <w:pPr>
        <w:keepNext/>
        <w:spacing w:before="360" w:after="12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8"/>
        </w:rPr>
        <w:t>Career history</w:t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7995"/>
      </w:tblGrid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2017 – Present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Interim CFO and Finance Director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 ·   Independent (Okafor Advisory Ltd)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Eight assignments across logistics, food and industrial services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2013 – 2017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Group Finance Director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 ·   Stratton Rail Freight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Full P&amp;L oversight of a £410m business; refinanced £95m of debt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2010 – 2013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Finance Director, UK Operations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 ·   Kestrel Freight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Led the finance side of two bolt-on acquisitions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2007 – 2010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Head of FP&amp;A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 ·   Penhallow &amp; Brice Group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Built group budgeting and board reporting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2005 – 2007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Manager, Restructuring Services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 ·   Calder &amp; Webb LLP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Lender-led reviews of mid-market industrial businesses</w:t>
            </w:r>
          </w:p>
        </w:tc>
      </w:tr>
      <w:tr>
        <w:trPr>
          <w:cantSplit/>
        </w:trPr>
        <w:tc>
          <w:tcPr>
            <w:tcW w:type="dxa" w:w="1871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2001 – 2005</w:t>
            </w:r>
          </w:p>
        </w:tc>
        <w:tc>
          <w:tcPr>
            <w:tcW w:type="dxa" w:w="7995"/>
            <w:tcBorders>
              <w:bottom w:val="single" w:sz="4" w:space="0" w:color="DFE0E1"/>
            </w:tcBorders>
            <w:vAlign w:val="top"/>
            <w:tcMar>
              <w:top w:w="85" w:type="dxa"/>
              <w:left w:w="0" w:type="dxa"/>
              <w:bottom w:w="85" w:type="dxa"/>
              <w:right w:w="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Audit Senior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 ·   Calder &amp; Webb LLP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Trained and qualified as a chartered accountant</w:t>
            </w:r>
          </w:p>
        </w:tc>
      </w:tr>
    </w:tbl>
    <w:p>
      <w:pPr>
        <w:spacing w:before="0" w:after="0" w:line="1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443"/>
        <w:gridCol w:w="397"/>
        <w:gridCol w:w="4027"/>
      </w:tblGrid>
      <w:tr>
        <w:trPr>
          <w:cantSplit/>
        </w:trPr>
        <w:tc>
          <w:tcPr>
            <w:tcW w:type="dxa" w:w="5443"/>
            <w:vAlign w:val="top"/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8"/>
              </w:rPr>
              <w:t>Areas of expertise</w:t>
            </w:r>
          </w:p>
          <w:p>
            <w:pPr>
              <w:spacing w:before="0" w:after="40" w:line="420" w:lineRule="auto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Turnaround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Refinancing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Carve‑outs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13‑week cash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Lender relations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ERP implementation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M&amp;A due diligence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Finance transformation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Working capital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  <w:shd w:val="clear" w:color="auto" w:fill="F1F2F3"/>
              </w:rPr>
              <w:t xml:space="preserve">  Team rebuilding 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  <w:p>
            <w:pPr>
              <w:spacing w:before="12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Sectors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Logistics and distribution   ·   Food manufacturing   ·   Industrial services   ·   Private equity portfolio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97"/>
          </w:tcPr>
          <w:p/>
        </w:tc>
        <w:tc>
          <w:tcPr>
            <w:tcW w:type="dxa" w:w="4027"/>
            <w:vAlign w:val="top"/>
            <w:shd w:val="clear" w:color="auto" w:fill="F1F2F3"/>
            <w:tcMar>
              <w:top w:w="60" w:type="dxa"/>
              <w:left w:w="240" w:type="dxa"/>
              <w:bottom w:w="200" w:type="dxa"/>
              <w:right w:w="240" w:type="dxa"/>
            </w:tcMar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8"/>
              </w:rPr>
              <w:t>Education and certifications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BSc (Hons) Accounting and Finance, University of Leeds (2001)</w:t>
            </w:r>
          </w:p>
          <w:p>
            <w:pPr>
              <w:spacing w:before="16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Certifications and memberships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FCA, ICAEW (2005)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Member, Institute of Interim Management</w:t>
            </w:r>
          </w:p>
          <w:p>
            <w:pPr>
              <w:tabs>
                <w:tab w:pos="238" w:val="left"/>
              </w:tabs>
              <w:spacing w:before="6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Certified Turnaround Practitioner, IRPA (2019)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jc w:val="left"/>
        <w:tblInd w:w="30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2F3F3"/>
            <w:tcMar>
              <w:top w:w="170" w:type="dxa"/>
              <w:left w:w="300" w:type="dxa"/>
              <w:bottom w:w="180" w:type="dxa"/>
              <w:right w:w="300" w:type="dxa"/>
            </w:tcMar>
            <w:tcBorders>
              <w:left w:val="single" w:sz="36" w:space="0" w:color="5F6B77"/>
            </w:tcBorders>
          </w:tcPr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Consultant’s view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1"/>
              </w:rPr>
              <w:t xml:space="preserve">A calm, lender-credible interim CFO with a strong record in exactly the situation Halden faces: a covenant reset followed by a refinancing. His day rate sits within the client's range and he can start on 1 November. Recommended for an early conversation with the Chair and CEO.</w:t>
            </w:r>
          </w:p>
          <w:p>
            <w:pPr>
              <w:spacing w:before="12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 xml:space="preserve">Priya Raman   ·   29 September 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07" w:left="1020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Confidential: prepared for the client named in this profile. Terms and availability as stated to us; please do not share with third parties.</w:t>
    </w:r>
  </w:p>
  <w:p>
    <w:pPr>
      <w:tabs>
        <w:tab w:pos="9866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Interim executive profile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7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Interim Executive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