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84"/>
        <w:gridCol w:w="7994"/>
      </w:tblGrid>
      <w:tr>
        <w:tc>
          <w:tcPr>
            <w:tcW w:type="dxa" w:w="1984"/>
            <w:vAlign w:val="center"/>
          </w:tcPr>
          <w:p>
            <w:pPr>
              <w:spacing w:before="0" w:after="0" w:line="240" w:lineRule="auto"/>
              <w:rPr>
                <w:sz w:val="2"/>
              </w:rPr>
            </w:pPr>
            <w:r>
              <w:drawing>
                <wp:inline distT="0" distB="0" distL="0" distR="0">
                  <wp:extent cx="1080000" cy="1080000"/>
                  <wp:effectExtent l="0" t="0" r="0" b="0"/>
                  <wp:docPr id="1001" name="Candidate photo frame 770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0" w:line="240" w:lineRule="auto"/>
                                <w:jc w:val="center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sz w:val="2"/>
                                </w:rPr>
                                <w:t xml:space="preserve"/>
                              </w:r>
                              <w:r>
                                <w:drawing>
                                  <wp:inline xmlns:pic="http://schemas.openxmlformats.org/drawingml/2006/picture">
                                    <wp:extent cx="1080000" cy="1080000"/>
                                    <wp:docPr id="1002" name="Picture 7705"/>
                                    <wp:cNvGraphicFramePr>
                                      <a:graphicFrameLocks noChangeAspect="1"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helena-vos.jpg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80000" cy="108000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</wp:inline>
              </w:drawing>
            </w:r>
          </w:p>
        </w:tc>
        <w:tc>
          <w:tcPr>
            <w:tcW w:type="dxa" w:w="7994"/>
            <w:vAlign w:val="center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International candidate profile  ·  President, Asia Pacific</w:t>
            </w:r>
          </w:p>
          <w:p>
            <w:pPr>
              <w:spacing w:before="0" w:after="4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52"/>
              </w:rPr>
              <w:t xml:space="preserve">Helena Vos</w:t>
            </w:r>
          </w:p>
          <w:p>
            <w:pPr>
              <w:spacing w:before="0" w:after="10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21"/>
              </w:rPr>
              <w:t xml:space="preserve">Regional President, South-East Asia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1"/>
              </w:rPr>
              <w:t xml:space="preserve">  ·  Corvell Packaging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20"/>
              </w:rPr>
              <w:t xml:space="preserve">Nationality 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Dutch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DFE0E1"/>
                <w:sz w:val="19"/>
              </w:rPr>
              <w:t xml:space="preserve">   |   </w:t>
            </w:r>
            <w:r>
              <w:rPr>
                <w:rFonts w:ascii="Calibri" w:hAnsi="Calibri" w:eastAsia="Calibri" w:cs="Calibri"/>
                <w:b w:val="0"/>
                <w:i w:val="0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20"/>
              </w:rPr>
              <w:t xml:space="preserve">Based in 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Singapore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DFE0E1"/>
                <w:sz w:val="19"/>
              </w:rPr>
              <w:t xml:space="preserve">   |   </w:t>
            </w:r>
            <w:r>
              <w:rPr>
                <w:rFonts w:ascii="Calibri" w:hAnsi="Calibri" w:eastAsia="Calibri" w:cs="Calibri"/>
                <w:b w:val="0"/>
                <w:i w:val="0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20"/>
              </w:rPr>
              <w:t xml:space="preserve">Mobility </w:t>
            </w: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Open to Dubai or London</w:t>
            </w:r>
            <w:r>
              <w:rPr>
                <w:rFonts w:ascii="Calibri" w:hAnsi="Calibri" w:eastAsia="Calibri" w:cs="Calibri"/>
                <w:b w:val="0"/>
                <w:i w:val="0"/>
              </w:rPr>
              <w:t xml:space="preserve"/>
            </w:r>
          </w:p>
        </w:tc>
      </w:tr>
    </w:tbl>
    <w:p>
      <w:pPr>
        <w:spacing w:before="0" w:after="0" w:line="1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tcBorders>
              <w:top w:val="single" w:sz="12" w:space="0" w:color="5F6B77"/>
            </w:tcBorders>
            <w:tcMar>
              <w:top w:w="60" w:type="dxa"/>
              <w:left w:w="0" w:type="dxa"/>
              <w:bottom w:w="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5"/>
              </w:rPr>
              <w:t xml:space="preserve">Countries worked in</w:t>
            </w:r>
          </w:p>
        </w:tc>
        <w:tc>
          <w:tcPr>
            <w:tcW w:type="dxa" w:w="2494"/>
            <w:tcBorders>
              <w:top w:val="single" w:sz="12" w:space="0" w:color="5F6B77"/>
            </w:tcBorders>
            <w:tcMar>
              <w:top w:w="60" w:type="dxa"/>
              <w:left w:w="0" w:type="dxa"/>
              <w:bottom w:w="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5"/>
              </w:rPr>
              <w:t xml:space="preserve">Regions led</w:t>
            </w:r>
          </w:p>
        </w:tc>
        <w:tc>
          <w:tcPr>
            <w:tcW w:type="dxa" w:w="2494"/>
            <w:tcBorders>
              <w:top w:val="single" w:sz="12" w:space="0" w:color="5F6B77"/>
            </w:tcBorders>
            <w:tcMar>
              <w:top w:w="60" w:type="dxa"/>
              <w:left w:w="0" w:type="dxa"/>
              <w:bottom w:w="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5"/>
              </w:rPr>
              <w:t xml:space="preserve">Largest team</w:t>
            </w:r>
          </w:p>
        </w:tc>
        <w:tc>
          <w:tcPr>
            <w:tcW w:type="dxa" w:w="2494"/>
            <w:tcBorders>
              <w:top w:val="single" w:sz="12" w:space="0" w:color="5F6B77"/>
            </w:tcBorders>
            <w:tcMar>
              <w:top w:w="60" w:type="dxa"/>
              <w:left w:w="0" w:type="dxa"/>
              <w:bottom w:w="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15"/>
              </w:rPr>
              <w:t xml:space="preserve">Languages</w:t>
            </w:r>
          </w:p>
        </w:tc>
      </w:tr>
      <w:tr>
        <w:tc>
          <w:tcPr>
            <w:tcW w:type="dxa" w:w="2494"/>
            <w:tcMar>
              <w:top w:w="0" w:type="dxa"/>
              <w:left w:w="0" w:type="dxa"/>
              <w:bottom w:w="4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7 across 3 continents</w:t>
            </w:r>
          </w:p>
        </w:tc>
        <w:tc>
          <w:tcPr>
            <w:tcW w:type="dxa" w:w="2494"/>
            <w:tcMar>
              <w:top w:w="0" w:type="dxa"/>
              <w:left w:w="0" w:type="dxa"/>
              <w:bottom w:w="4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Asia &amp; Pacific · Europe</w:t>
            </w:r>
          </w:p>
        </w:tc>
        <w:tc>
          <w:tcPr>
            <w:tcW w:type="dxa" w:w="2494"/>
            <w:tcMar>
              <w:top w:w="0" w:type="dxa"/>
              <w:left w:w="0" w:type="dxa"/>
              <w:bottom w:w="4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6,200 people · 9 countries</w:t>
            </w:r>
          </w:p>
        </w:tc>
        <w:tc>
          <w:tcPr>
            <w:tcW w:type="dxa" w:w="2494"/>
            <w:tcMar>
              <w:top w:w="0" w:type="dxa"/>
              <w:left w:w="0" w:type="dxa"/>
              <w:bottom w:w="4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5 · Dutch, English, Mandarin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Executive summary</w:t>
      </w:r>
    </w:p>
    <w:p>
      <w:pPr>
        <w:spacing w:before="0" w:after="0"/>
        <w:jc w:val="both"/>
      </w:pPr>
      <w:r>
        <w:rPr>
          <w:rFonts w:ascii="Calibri" w:hAnsi="Calibri" w:eastAsia="Calibri" w:cs="Calibri"/>
          <w:b w:val="0"/>
          <w:i w:val="0"/>
          <w:sz w:val="21"/>
        </w:rPr>
        <w:t xml:space="preserve">Helena is a regional president who has spent eighteen years running multi-country businesses in Asia and Europe. At Corvell Packaging she leads a $1.4bn South-East Asia region of 6,200 people across nine countries, and has delivered five consecutive years of margin growth. Earlier she built Corvell’s Japanese business from a sales office into a manufacturing operation and led two cross-border M&amp;A integrations in Europe. She works comfortably across cultures and in three business languages.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503"/>
        <w:gridCol w:w="187"/>
        <w:gridCol w:w="2296"/>
        <w:gridCol w:w="1995"/>
        <w:gridCol w:w="1995"/>
      </w:tblGrid>
      <w:tr>
        <w:tc>
          <w:tcPr>
            <w:tcW w:type="dxa" w:w="5839"/>
            <w:vAlign w:val="top"/>
          </w:tcPr>
          <w:p>
            <w:pPr>
              <w:spacing w:before="0" w:after="100"/>
              <w:keepNext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5"/>
              </w:rPr>
              <w:t>International footprint</w:t>
            </w:r>
          </w:p>
          <w:tbl>
            <w:tblPr>
              <w:tblLook w:firstColumn="1" w:firstRow="1" w:lastColumn="0" w:lastRow="0" w:noHBand="0" w:noVBand="1" w:val="04A0"/>
              <w:tblW w:w="5839" w:type="dxa"/>
              <w:tblLayout w:type="fixed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126"/>
              <w:gridCol w:w="3713"/>
            </w:tblGrid>
            <w:tr>
              <w:trPr>
                <w:cantSplit/>
              </w:trPr>
              <w:tc>
                <w:tcPr>
                  <w:tcW w:type="dxa" w:w="2126"/>
                  <w:tcMar>
                    <w:top w:w="70" w:type="dxa"/>
                    <w:left w:w="0" w:type="dxa"/>
                    <w:bottom w:w="80" w:type="dxa"/>
                    <w:right w:w="0" w:type="dxa"/>
                  </w:tcMar>
                  <w:tcBorders>
                    <w:bottom w:val="single" w:sz="4" w:space="0" w:color="DFE0E1"/>
                  </w:tcBorders>
                  <w:tcMar>
                    <w:top w:w="70" w:type="dxa"/>
                    <w:left w:w="0" w:type="dxa"/>
                    <w:bottom w:w="80" w:type="dxa"/>
                    <w:right w:w="12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5F6B77"/>
                      <w:sz w:val="18"/>
                    </w:rPr>
                    <w:t xml:space="preserve">Asia &amp; Pacific</w:t>
                  </w:r>
                </w:p>
              </w:tc>
              <w:tc>
                <w:tcPr>
                  <w:tcW w:type="dxa" w:w="3713"/>
                  <w:tcMar>
                    <w:top w:w="70" w:type="dxa"/>
                    <w:left w:w="0" w:type="dxa"/>
                    <w:bottom w:w="80" w:type="dxa"/>
                    <w:right w:w="0" w:type="dxa"/>
                  </w:tcMar>
                  <w:tcBorders>
                    <w:bottom w:val="single" w:sz="4" w:space="0" w:color="DFE0E1"/>
                  </w:tcBorders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1F2226"/>
                      <w:sz w:val="19"/>
                    </w:rPr>
                    <w:t xml:space="preserve">Singapore (led), Malaysia, Thailand, Vietnam, Japan (led), Australia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26"/>
                  <w:tcMar>
                    <w:top w:w="70" w:type="dxa"/>
                    <w:left w:w="0" w:type="dxa"/>
                    <w:bottom w:w="80" w:type="dxa"/>
                    <w:right w:w="0" w:type="dxa"/>
                  </w:tcMar>
                  <w:tcBorders>
                    <w:bottom w:val="single" w:sz="4" w:space="0" w:color="DFE0E1"/>
                  </w:tcBorders>
                  <w:tcMar>
                    <w:top w:w="70" w:type="dxa"/>
                    <w:left w:w="0" w:type="dxa"/>
                    <w:bottom w:w="80" w:type="dxa"/>
                    <w:right w:w="12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5F6B77"/>
                      <w:sz w:val="18"/>
                    </w:rPr>
                    <w:t xml:space="preserve">Greater China</w:t>
                  </w:r>
                </w:p>
              </w:tc>
              <w:tc>
                <w:tcPr>
                  <w:tcW w:type="dxa" w:w="3713"/>
                  <w:tcMar>
                    <w:top w:w="70" w:type="dxa"/>
                    <w:left w:w="0" w:type="dxa"/>
                    <w:bottom w:w="80" w:type="dxa"/>
                    <w:right w:w="0" w:type="dxa"/>
                  </w:tcMar>
                  <w:tcBorders>
                    <w:bottom w:val="single" w:sz="4" w:space="0" w:color="DFE0E1"/>
                  </w:tcBorders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1F2226"/>
                      <w:sz w:val="19"/>
                    </w:rPr>
                    <w:t xml:space="preserve">China, Hong Kong, Taiwan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26"/>
                  <w:tcMar>
                    <w:top w:w="70" w:type="dxa"/>
                    <w:left w:w="0" w:type="dxa"/>
                    <w:bottom w:w="80" w:type="dxa"/>
                    <w:right w:w="0" w:type="dxa"/>
                  </w:tcMar>
                  <w:tcBorders>
                    <w:bottom w:val="single" w:sz="4" w:space="0" w:color="DFE0E1"/>
                  </w:tcBorders>
                  <w:tcMar>
                    <w:top w:w="70" w:type="dxa"/>
                    <w:left w:w="0" w:type="dxa"/>
                    <w:bottom w:w="80" w:type="dxa"/>
                    <w:right w:w="12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5F6B77"/>
                      <w:sz w:val="18"/>
                    </w:rPr>
                    <w:t xml:space="preserve">Europe</w:t>
                  </w:r>
                </w:p>
              </w:tc>
              <w:tc>
                <w:tcPr>
                  <w:tcW w:type="dxa" w:w="3713"/>
                  <w:tcMar>
                    <w:top w:w="70" w:type="dxa"/>
                    <w:left w:w="0" w:type="dxa"/>
                    <w:bottom w:w="80" w:type="dxa"/>
                    <w:right w:w="0" w:type="dxa"/>
                  </w:tcMar>
                  <w:tcBorders>
                    <w:bottom w:val="single" w:sz="4" w:space="0" w:color="DFE0E1"/>
                  </w:tcBorders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1F2226"/>
                      <w:sz w:val="19"/>
                    </w:rPr>
                    <w:t xml:space="preserve">Netherlands (led), Germany, Belgium, Poland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26"/>
                  <w:tcMar>
                    <w:top w:w="70" w:type="dxa"/>
                    <w:left w:w="0" w:type="dxa"/>
                    <w:bottom w:w="80" w:type="dxa"/>
                    <w:right w:w="0" w:type="dxa"/>
                  </w:tcMar>
                  <w:tcBorders>
                    <w:bottom w:val="single" w:sz="4" w:space="0" w:color="DFE0E1"/>
                  </w:tcBorders>
                  <w:tcMar>
                    <w:top w:w="70" w:type="dxa"/>
                    <w:left w:w="0" w:type="dxa"/>
                    <w:bottom w:w="80" w:type="dxa"/>
                    <w:right w:w="12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5F6B77"/>
                      <w:sz w:val="18"/>
                    </w:rPr>
                    <w:t xml:space="preserve">Middle East &amp; Africa</w:t>
                  </w:r>
                </w:p>
              </w:tc>
              <w:tc>
                <w:tcPr>
                  <w:tcW w:type="dxa" w:w="3713"/>
                  <w:tcMar>
                    <w:top w:w="70" w:type="dxa"/>
                    <w:left w:w="0" w:type="dxa"/>
                    <w:bottom w:w="80" w:type="dxa"/>
                    <w:right w:w="0" w:type="dxa"/>
                  </w:tcMar>
                  <w:tcBorders>
                    <w:bottom w:val="single" w:sz="4" w:space="0" w:color="DFE0E1"/>
                  </w:tcBorders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1F2226"/>
                      <w:sz w:val="19"/>
                    </w:rPr>
                    <w:t xml:space="preserve">United Arab Emirates (export markets)</w:t>
                  </w:r>
                </w:p>
              </w:tc>
            </w:tr>
          </w:tbl>
          <w:p/>
        </w:tc>
        <w:tc>
          <w:tcPr>
            <w:tcW w:type="dxa" w:w="312"/>
          </w:tcPr>
          <w:p/>
        </w:tc>
        <w:tc>
          <w:tcPr>
            <w:tcW w:type="dxa" w:w="3827"/>
            <w:vAlign w:val="top"/>
            <w:shd w:val="clear" w:color="auto" w:fill="F1F2F3"/>
            <w:tcMar>
              <w:top w:w="130" w:type="dxa"/>
              <w:left w:w="240" w:type="dxa"/>
              <w:bottom w:w="200" w:type="dxa"/>
              <w:right w:w="240" w:type="dxa"/>
            </w:tcMar>
          </w:tcPr>
          <w:p>
            <w:pPr>
              <w:spacing w:before="0" w:after="100"/>
              <w:keepNext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5"/>
              </w:rPr>
              <w:t>Languages</w:t>
            </w:r>
          </w:p>
          <w:tbl>
            <w:tblPr>
              <w:tblLook w:firstColumn="1" w:firstRow="1" w:lastColumn="0" w:lastRow="0" w:noHBand="0" w:noVBand="1" w:val="04A0"/>
              <w:tblW w:w="3345" w:type="dxa"/>
              <w:tblLayout w:type="fixed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9"/>
              <w:gridCol w:w="669"/>
              <w:gridCol w:w="669"/>
              <w:gridCol w:w="669"/>
              <w:gridCol w:w="669"/>
            </w:tblGrid>
            <w:tr>
              <w:trPr>
                <w:cantSplit/>
              </w:trPr>
              <w:tc>
                <w:tcPr>
                  <w:tcW w:type="dxa" w:w="3345"/>
                  <w:gridSpan w:val="5"/>
                  <w:tcMar>
                    <w:top w:w="90" w:type="dxa"/>
                    <w:left w:w="0" w:type="dxa"/>
                    <w:bottom w:w="45" w:type="dxa"/>
                    <w:right w:w="0" w:type="dxa"/>
                  </w:tcMar>
                </w:tcPr>
                <w:p>
                  <w:pPr>
                    <w:tabs>
                      <w:tab w:pos="3347" w:val="right"/>
                    </w:tabs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9"/>
                    </w:rPr>
                    <w:t xml:space="preserve">Dutch</w:t>
                  </w:r>
                  <w:r>
                    <w:rPr>
                      <w:rFonts w:ascii="Calibri" w:hAnsi="Calibri" w:eastAsia="Calibri" w:cs="Calibri"/>
                      <w:b w:val="0"/>
                      <w:i w:val="0"/>
                    </w:rPr>
                    <w:tab/>
                  </w:r>
                  <w:r>
                    <w:rPr>
                      <w:rFonts w:ascii="Calibri" w:hAnsi="Calibri" w:eastAsia="Calibri" w:cs="Calibri"/>
                      <w:b w:val="0"/>
                      <w:i w:val="0"/>
                      <w:color w:val="5F6B77"/>
                      <w:sz w:val="17"/>
                    </w:rPr>
                    <w:t xml:space="preserve">Native</w:t>
                  </w:r>
                </w:p>
              </w:tc>
            </w:tr>
            <w:tr>
              <w:trPr>
                <w:trHeight w:val="113" w:hRule="exact"/>
                <w:cantSplit/>
              </w:trPr>
              <w:tc>
                <w:tcPr>
                  <w:shd w:val="clear" w:color="auto" w:fill="5F6B77"/>
                  <w:tcW w:type="dxa" w:w="669"/>
                  <w:tcBorders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</w:tcBorders>
                </w:tcPr>
                <w:p/>
              </w:tc>
            </w:tr>
            <w:tr>
              <w:trPr>
                <w:cantSplit/>
              </w:trPr>
              <w:tc>
                <w:tcPr>
                  <w:tcW w:type="dxa" w:w="3345"/>
                  <w:gridSpan w:val="5"/>
                  <w:tcMar>
                    <w:top w:w="90" w:type="dxa"/>
                    <w:left w:w="0" w:type="dxa"/>
                    <w:bottom w:w="45" w:type="dxa"/>
                    <w:right w:w="0" w:type="dxa"/>
                  </w:tcMar>
                </w:tcPr>
                <w:p>
                  <w:pPr>
                    <w:tabs>
                      <w:tab w:pos="3347" w:val="right"/>
                    </w:tabs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9"/>
                    </w:rPr>
                    <w:t xml:space="preserve">English</w:t>
                  </w:r>
                  <w:r>
                    <w:rPr>
                      <w:rFonts w:ascii="Calibri" w:hAnsi="Calibri" w:eastAsia="Calibri" w:cs="Calibri"/>
                      <w:b w:val="0"/>
                      <w:i w:val="0"/>
                    </w:rPr>
                    <w:tab/>
                  </w:r>
                  <w:r>
                    <w:rPr>
                      <w:rFonts w:ascii="Calibri" w:hAnsi="Calibri" w:eastAsia="Calibri" w:cs="Calibri"/>
                      <w:b w:val="0"/>
                      <w:i w:val="0"/>
                      <w:color w:val="5F6B77"/>
                      <w:sz w:val="17"/>
                    </w:rPr>
                    <w:t xml:space="preserve">Fluent</w:t>
                  </w:r>
                </w:p>
              </w:tc>
            </w:tr>
            <w:tr>
              <w:trPr>
                <w:trHeight w:val="113" w:hRule="exact"/>
                <w:cantSplit/>
              </w:trPr>
              <w:tc>
                <w:tcPr>
                  <w:shd w:val="clear" w:color="auto" w:fill="5F6B77"/>
                  <w:tcW w:type="dxa" w:w="669"/>
                  <w:tcBorders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FFFFFF"/>
                  <w:tcW w:type="dxa" w:w="669"/>
                  <w:tcBorders>
                    <w:left w:val="single" w:sz="16" w:space="0" w:color="F1F2F3"/>
                  </w:tcBorders>
                </w:tcPr>
                <w:p/>
              </w:tc>
            </w:tr>
            <w:tr>
              <w:trPr>
                <w:cantSplit/>
              </w:trPr>
              <w:tc>
                <w:tcPr>
                  <w:tcW w:type="dxa" w:w="3345"/>
                  <w:gridSpan w:val="5"/>
                  <w:tcMar>
                    <w:top w:w="90" w:type="dxa"/>
                    <w:left w:w="0" w:type="dxa"/>
                    <w:bottom w:w="45" w:type="dxa"/>
                    <w:right w:w="0" w:type="dxa"/>
                  </w:tcMar>
                </w:tcPr>
                <w:p>
                  <w:pPr>
                    <w:tabs>
                      <w:tab w:pos="3347" w:val="right"/>
                    </w:tabs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9"/>
                    </w:rPr>
                    <w:t xml:space="preserve">German</w:t>
                  </w:r>
                  <w:r>
                    <w:rPr>
                      <w:rFonts w:ascii="Calibri" w:hAnsi="Calibri" w:eastAsia="Calibri" w:cs="Calibri"/>
                      <w:b w:val="0"/>
                      <w:i w:val="0"/>
                    </w:rPr>
                    <w:tab/>
                  </w:r>
                  <w:r>
                    <w:rPr>
                      <w:rFonts w:ascii="Calibri" w:hAnsi="Calibri" w:eastAsia="Calibri" w:cs="Calibri"/>
                      <w:b w:val="0"/>
                      <w:i w:val="0"/>
                      <w:color w:val="5F6B77"/>
                      <w:sz w:val="17"/>
                    </w:rPr>
                    <w:t xml:space="preserve">Professional</w:t>
                  </w:r>
                </w:p>
              </w:tc>
            </w:tr>
            <w:tr>
              <w:trPr>
                <w:trHeight w:val="113" w:hRule="exact"/>
                <w:cantSplit/>
              </w:trPr>
              <w:tc>
                <w:tcPr>
                  <w:shd w:val="clear" w:color="auto" w:fill="5F6B77"/>
                  <w:tcW w:type="dxa" w:w="669"/>
                  <w:tcBorders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FFFFFF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FFFFFF"/>
                  <w:tcW w:type="dxa" w:w="669"/>
                  <w:tcBorders>
                    <w:left w:val="single" w:sz="16" w:space="0" w:color="F1F2F3"/>
                  </w:tcBorders>
                </w:tcPr>
                <w:p/>
              </w:tc>
            </w:tr>
            <w:tr>
              <w:trPr>
                <w:cantSplit/>
              </w:trPr>
              <w:tc>
                <w:tcPr>
                  <w:tcW w:type="dxa" w:w="3345"/>
                  <w:gridSpan w:val="5"/>
                  <w:tcMar>
                    <w:top w:w="90" w:type="dxa"/>
                    <w:left w:w="0" w:type="dxa"/>
                    <w:bottom w:w="45" w:type="dxa"/>
                    <w:right w:w="0" w:type="dxa"/>
                  </w:tcMar>
                </w:tcPr>
                <w:p>
                  <w:pPr>
                    <w:tabs>
                      <w:tab w:pos="3347" w:val="right"/>
                    </w:tabs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9"/>
                    </w:rPr>
                    <w:t xml:space="preserve">Mandarin</w:t>
                  </w:r>
                  <w:r>
                    <w:rPr>
                      <w:rFonts w:ascii="Calibri" w:hAnsi="Calibri" w:eastAsia="Calibri" w:cs="Calibri"/>
                      <w:b w:val="0"/>
                      <w:i w:val="0"/>
                    </w:rPr>
                    <w:tab/>
                  </w:r>
                  <w:r>
                    <w:rPr>
                      <w:rFonts w:ascii="Calibri" w:hAnsi="Calibri" w:eastAsia="Calibri" w:cs="Calibri"/>
                      <w:b w:val="0"/>
                      <w:i w:val="0"/>
                      <w:color w:val="5F6B77"/>
                      <w:sz w:val="17"/>
                    </w:rPr>
                    <w:t xml:space="preserve">Professional</w:t>
                  </w:r>
                </w:p>
              </w:tc>
            </w:tr>
            <w:tr>
              <w:trPr>
                <w:trHeight w:val="113" w:hRule="exact"/>
                <w:cantSplit/>
              </w:trPr>
              <w:tc>
                <w:tcPr>
                  <w:shd w:val="clear" w:color="auto" w:fill="5F6B77"/>
                  <w:tcW w:type="dxa" w:w="669"/>
                  <w:tcBorders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FFFFFF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FFFFFF"/>
                  <w:tcW w:type="dxa" w:w="669"/>
                  <w:tcBorders>
                    <w:left w:val="single" w:sz="16" w:space="0" w:color="F1F2F3"/>
                  </w:tcBorders>
                </w:tcPr>
                <w:p/>
              </w:tc>
            </w:tr>
            <w:tr>
              <w:trPr>
                <w:cantSplit/>
              </w:trPr>
              <w:tc>
                <w:tcPr>
                  <w:tcW w:type="dxa" w:w="3345"/>
                  <w:gridSpan w:val="5"/>
                  <w:tcMar>
                    <w:top w:w="90" w:type="dxa"/>
                    <w:left w:w="0" w:type="dxa"/>
                    <w:bottom w:w="45" w:type="dxa"/>
                    <w:right w:w="0" w:type="dxa"/>
                  </w:tcMar>
                </w:tcPr>
                <w:p>
                  <w:pPr>
                    <w:tabs>
                      <w:tab w:pos="3347" w:val="right"/>
                    </w:tabs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9"/>
                    </w:rPr>
                    <w:t xml:space="preserve">Japanese</w:t>
                  </w:r>
                  <w:r>
                    <w:rPr>
                      <w:rFonts w:ascii="Calibri" w:hAnsi="Calibri" w:eastAsia="Calibri" w:cs="Calibri"/>
                      <w:b w:val="0"/>
                      <w:i w:val="0"/>
                    </w:rPr>
                    <w:tab/>
                  </w:r>
                  <w:r>
                    <w:rPr>
                      <w:rFonts w:ascii="Calibri" w:hAnsi="Calibri" w:eastAsia="Calibri" w:cs="Calibri"/>
                      <w:b w:val="0"/>
                      <w:i w:val="0"/>
                      <w:color w:val="5F6B77"/>
                      <w:sz w:val="17"/>
                    </w:rPr>
                    <w:t xml:space="preserve">Conversational</w:t>
                  </w:r>
                </w:p>
              </w:tc>
            </w:tr>
            <w:tr>
              <w:trPr>
                <w:trHeight w:val="113" w:hRule="exact"/>
                <w:cantSplit/>
              </w:trPr>
              <w:tc>
                <w:tcPr>
                  <w:shd w:val="clear" w:color="auto" w:fill="5F6B77"/>
                  <w:tcW w:type="dxa" w:w="669"/>
                  <w:tcBorders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5F6B77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FFFFFF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FFFFFF"/>
                  <w:tcW w:type="dxa" w:w="669"/>
                  <w:tcBorders>
                    <w:left w:val="single" w:sz="16" w:space="0" w:color="F1F2F3"/>
                    <w:right w:val="single" w:sz="16" w:space="0" w:color="F1F2F3"/>
                  </w:tcBorders>
                </w:tcPr>
                <w:p/>
              </w:tc>
              <w:tc>
                <w:tcPr>
                  <w:shd w:val="clear" w:color="auto" w:fill="FFFFFF"/>
                  <w:tcW w:type="dxa" w:w="669"/>
                  <w:tcBorders>
                    <w:left w:val="single" w:sz="16" w:space="0" w:color="F1F2F3"/>
                  </w:tcBorders>
                </w:tcPr>
                <w:p/>
              </w:tc>
            </w:tr>
          </w:tbl>
          <w:p/>
          <w:p>
            <w:pPr>
              <w:spacing w:before="180" w:after="0"/>
            </w:pPr>
            <w:r>
              <w:rPr>
                <w:rFonts w:ascii="Calibri" w:hAnsi="Calibri" w:eastAsia="Calibri" w:cs="Calibri"/>
                <w:b w:val="0"/>
                <w:i/>
                <w:color w:val="6B6D70"/>
                <w:sz w:val="14"/>
              </w:rPr>
              <w:t>Scale: Basic · Conversational · Professional · Fluent · Native. Levels as stated in the CV.</w:t>
            </w:r>
          </w:p>
        </w:tc>
      </w:tr>
    </w:tbl>
    <w:p>
      <w:pPr>
        <w:keepNext/>
        <w:spacing w:before="36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International career</w:t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211"/>
        <w:gridCol w:w="7767"/>
      </w:tblGrid>
      <w:tr>
        <w:trPr>
          <w:cantSplit/>
        </w:trPr>
        <w:tc>
          <w:tcPr>
            <w:tcW w:type="dxa" w:w="2211"/>
            <w:vAlign w:val="top"/>
            <w:tcBorders>
              <w:right w:val="single" w:sz="12" w:space="0" w:color="5F6B77"/>
            </w:tcBorders>
            <w:tcMar>
              <w:top w:w="150" w:type="dxa"/>
              <w:left w:w="0" w:type="dxa"/>
              <w:bottom w:w="200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6"/>
              </w:rPr>
              <w:t xml:space="preserve">Singapore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 xml:space="preserve">2021 – Present</w:t>
            </w:r>
          </w:p>
        </w:tc>
        <w:tc>
          <w:tcPr>
            <w:tcW w:type="dxa" w:w="7767"/>
            <w:vAlign w:val="top"/>
            <w:tcMar>
              <w:top w:w="150" w:type="dxa"/>
              <w:left w:w="283" w:type="dxa"/>
              <w:bottom w:w="20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Regional President, South-East Asia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Corvell Packaging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$1.4bn revenue, 6,200 people in nine countries; EBITDA margin up from 11.2% to 14.8%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Opened plants in Vietnam and Thailand, adding $210m of annual capacity</w:t>
            </w:r>
          </w:p>
        </w:tc>
      </w:tr>
      <w:tr>
        <w:trPr>
          <w:cantSplit/>
        </w:trPr>
        <w:tc>
          <w:tcPr>
            <w:tcW w:type="dxa" w:w="2211"/>
            <w:vAlign w:val="top"/>
            <w:tcBorders>
              <w:right w:val="single" w:sz="12" w:space="0" w:color="5F6B77"/>
            </w:tcBorders>
            <w:tcMar>
              <w:top w:w="150" w:type="dxa"/>
              <w:left w:w="0" w:type="dxa"/>
              <w:bottom w:w="200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6"/>
              </w:rPr>
              <w:t xml:space="preserve">Japan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Tokyo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 xml:space="preserve">2017 – 2021</w:t>
            </w:r>
          </w:p>
        </w:tc>
        <w:tc>
          <w:tcPr>
            <w:tcW w:type="dxa" w:w="7767"/>
            <w:vAlign w:val="top"/>
            <w:tcMar>
              <w:top w:w="150" w:type="dxa"/>
              <w:left w:w="283" w:type="dxa"/>
              <w:bottom w:w="20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Managing Director, Japan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Corvell Packaging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Grew revenue from ¥9bn to ¥26bn and turned a loss-making office profitable in year two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Built a local leadership team; three of five directors now run regions</w:t>
            </w:r>
          </w:p>
        </w:tc>
      </w:tr>
      <w:tr>
        <w:trPr>
          <w:cantSplit/>
        </w:trPr>
        <w:tc>
          <w:tcPr>
            <w:tcW w:type="dxa" w:w="2211"/>
            <w:vAlign w:val="top"/>
            <w:tcBorders>
              <w:right w:val="single" w:sz="12" w:space="0" w:color="5F6B77"/>
            </w:tcBorders>
            <w:tcMar>
              <w:top w:w="150" w:type="dxa"/>
              <w:left w:w="0" w:type="dxa"/>
              <w:bottom w:w="200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6"/>
              </w:rPr>
              <w:t xml:space="preserve">Netherlands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Amsterdam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 xml:space="preserve">2014 – 2017</w:t>
            </w:r>
          </w:p>
        </w:tc>
        <w:tc>
          <w:tcPr>
            <w:tcW w:type="dxa" w:w="7767"/>
            <w:vAlign w:val="top"/>
            <w:tcMar>
              <w:top w:w="150" w:type="dxa"/>
              <w:left w:w="283" w:type="dxa"/>
              <w:bottom w:w="20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Vice President, Strategy &amp; M&amp;A, Europe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Corvell Packaging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Led the €340m acquisition of Brevik Folien and its integration across four countries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Delivered €28m of annual synergies, 40% above the deal case, within two years</w:t>
            </w:r>
          </w:p>
        </w:tc>
      </w:tr>
      <w:tr>
        <w:trPr>
          <w:cantSplit/>
        </w:trPr>
        <w:tc>
          <w:tcPr>
            <w:tcW w:type="dxa" w:w="2211"/>
            <w:vAlign w:val="top"/>
            <w:tcBorders>
              <w:right w:val="single" w:sz="12" w:space="0" w:color="5F6B77"/>
            </w:tcBorders>
            <w:tcMar>
              <w:top w:w="150" w:type="dxa"/>
              <w:left w:w="0" w:type="dxa"/>
              <w:bottom w:w="200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6"/>
              </w:rPr>
              <w:t xml:space="preserve">China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Shanghai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 xml:space="preserve">2011 – 2014</w:t>
            </w:r>
          </w:p>
        </w:tc>
        <w:tc>
          <w:tcPr>
            <w:tcW w:type="dxa" w:w="7767"/>
            <w:vAlign w:val="top"/>
            <w:tcMar>
              <w:top w:w="150" w:type="dxa"/>
              <w:left w:w="283" w:type="dxa"/>
              <w:bottom w:w="20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General Manager, Greater China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Almsted Consumer Goods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P&amp;L for a ¥1.8bn business with 900 people; doubled distribution to 40 cities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Opened a second plant in Suzhou and localised 70% of the supply base</w:t>
            </w:r>
          </w:p>
        </w:tc>
      </w:tr>
      <w:tr>
        <w:trPr>
          <w:cantSplit/>
        </w:trPr>
        <w:tc>
          <w:tcPr>
            <w:tcW w:type="dxa" w:w="2211"/>
            <w:vAlign w:val="top"/>
            <w:tcBorders>
              <w:right w:val="single" w:sz="12" w:space="0" w:color="5F6B77"/>
            </w:tcBorders>
            <w:tcMar>
              <w:top w:w="150" w:type="dxa"/>
              <w:left w:w="0" w:type="dxa"/>
              <w:bottom w:w="200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6"/>
              </w:rPr>
              <w:t xml:space="preserve">Germany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Düsseldorf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 xml:space="preserve">2008 – 2011</w:t>
            </w:r>
          </w:p>
        </w:tc>
        <w:tc>
          <w:tcPr>
            <w:tcW w:type="dxa" w:w="7767"/>
            <w:vAlign w:val="top"/>
            <w:tcMar>
              <w:top w:w="150" w:type="dxa"/>
              <w:left w:w="283" w:type="dxa"/>
              <w:bottom w:w="20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Commercial Director, DACH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Almsted Consumer Goods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Won three national retail contracts worth €75m a year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Moved the DACH business from fifth to second in its category by value share</w:t>
            </w:r>
          </w:p>
        </w:tc>
      </w:tr>
      <w:tr>
        <w:trPr>
          <w:cantSplit/>
        </w:trPr>
        <w:tc>
          <w:tcPr>
            <w:tcW w:type="dxa" w:w="2211"/>
            <w:vAlign w:val="top"/>
            <w:tcBorders>
              <w:right w:val="single" w:sz="12" w:space="0" w:color="5F6B77"/>
            </w:tcBorders>
            <w:tcMar>
              <w:top w:w="150" w:type="dxa"/>
              <w:left w:w="0" w:type="dxa"/>
              <w:bottom w:w="200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6"/>
              </w:rPr>
              <w:t xml:space="preserve">Netherlands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Amsterdam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 xml:space="preserve">2005 – 2008</w:t>
            </w:r>
          </w:p>
        </w:tc>
        <w:tc>
          <w:tcPr>
            <w:tcW w:type="dxa" w:w="7767"/>
            <w:vAlign w:val="top"/>
            <w:tcMar>
              <w:top w:w="150" w:type="dxa"/>
              <w:left w:w="283" w:type="dxa"/>
              <w:bottom w:w="200" w:type="dxa"/>
              <w:right w:w="0" w:type="dxa"/>
            </w:tcMar>
            <w:tcBorders>
              <w:bottom w:val="single" w:sz="4" w:space="0" w:color="DFE0E1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1"/>
              </w:rPr>
              <w:t xml:space="preserve">Senior Consultant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Oberlin &amp; Marsh Partners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Market-entry and operations projects for industrial clients in Europe and Asia</w:t>
            </w:r>
          </w:p>
          <w:p>
            <w:pPr>
              <w:pStyle w:val="ListBullet"/>
              <w:spacing w:before="60" w:after="0"/>
              <w:ind w:left="238" w:hanging="181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Led a twelve-person team on a plant-network review for a Japanese manufacturer</w:t>
            </w:r>
          </w:p>
        </w:tc>
      </w:tr>
    </w:tbl>
    <w:p>
      <w:pPr>
        <w:keepNext/>
        <w:spacing w:before="36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Education</w:t>
      </w:r>
    </w:p>
    <w:p>
      <w:pPr>
        <w:spacing w:before="80" w:after="0"/>
      </w:pPr>
      <w:r>
        <w:rPr>
          <w:rFonts w:ascii="Calibri" w:hAnsi="Calibri" w:eastAsia="Calibri" w:cs="Calibri"/>
          <w:b w:val="0"/>
          <w:i w:val="0"/>
          <w:sz w:val="20"/>
        </w:rPr>
        <w:t xml:space="preserve">Executive Programme in Global Leadership, Marlowe Institute of Management, Singapore (2019)</w:t>
      </w:r>
    </w:p>
    <w:p>
      <w:pPr>
        <w:spacing w:before="80" w:after="0"/>
      </w:pPr>
      <w:r>
        <w:rPr>
          <w:rFonts w:ascii="Calibri" w:hAnsi="Calibri" w:eastAsia="Calibri" w:cs="Calibri"/>
          <w:b w:val="0"/>
          <w:i w:val="0"/>
          <w:sz w:val="20"/>
        </w:rPr>
        <w:t xml:space="preserve">MBA, Lanford Business School, France (2011)</w:t>
      </w:r>
    </w:p>
    <w:p>
      <w:pPr>
        <w:spacing w:before="80" w:after="0"/>
      </w:pPr>
      <w:r>
        <w:rPr>
          <w:rFonts w:ascii="Calibri" w:hAnsi="Calibri" w:eastAsia="Calibri" w:cs="Calibri"/>
          <w:b w:val="0"/>
          <w:i w:val="0"/>
          <w:sz w:val="20"/>
        </w:rPr>
        <w:t xml:space="preserve">MSc Industrial Engineering, Delftmoor University of Technology, Netherlands (2005)</w:t>
      </w:r>
    </w:p>
    <w:p>
      <w:pPr>
        <w:spacing w:before="0" w:after="0" w:line="3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00" w:type="dxa"/>
        <w:jc w:val="left"/>
        <w:tblInd w:w="2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700"/>
      </w:tblGrid>
      <w:tr>
        <w:trPr>
          <w:cantSplit/>
        </w:trPr>
        <w:tc>
          <w:tcPr>
            <w:tcW w:type="dxa" w:w="9700"/>
            <w:shd w:val="clear" w:color="auto" w:fill="F1F2F3"/>
            <w:tcMar>
              <w:top w:w="190" w:type="dxa"/>
              <w:left w:w="280" w:type="dxa"/>
              <w:bottom w:w="210" w:type="dxa"/>
              <w:right w:w="280" w:type="dxa"/>
            </w:tcMar>
            <w:tcBorders>
              <w:left w:val="single" w:sz="36" w:space="0" w:color="5F6B77"/>
            </w:tcBorders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Consultant’s view</w:t>
            </w:r>
          </w:p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/>
                <w:color w:val="2E3338"/>
                <w:sz w:val="22"/>
              </w:rPr>
              <w:t xml:space="preserve">A proven regional leader with genuine depth in Asia and a strong M&amp;A record, well matched to Talvern’s growth plan. Helena is open to relocating to Dubai or London; her partner works remotely and their children finish school in Singapore in June 2027, which suits the client’s timetable.</w:t>
            </w:r>
          </w:p>
          <w:p>
            <w:pPr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Prepared for Talvern Industrial Group  ·  Priya Raman  ·  29 September 2026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64" w:bottom="850" w:left="964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Strictly private and confidential. Prepared for the client; not to be shared with the candidate or any third party.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2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Global executive profile  ·  Strictly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Executive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