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2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30"/>
        </w:rPr>
        <w:t>Key personnel resume</w:t>
      </w:r>
      <w:r>
        <w:rPr>
          <w:rFonts w:ascii="Calibri" w:hAnsi="Calibri" w:eastAsia="Calibri" w:cs="Calibri"/>
          <w:b w:val="0"/>
          <w:i w:val="0"/>
          <w:color w:val="6B6D70"/>
          <w:sz w:val="16"/>
        </w:rPr>
        <w:t xml:space="preserve">   ·   Enterprise Infrastructure Modernization Support</w:t>
      </w:r>
    </w:p>
    <w:p>
      <w:pPr>
        <w:spacing w:before="0" w:after="40"/>
      </w:pPr>
      <w:r>
        <w:rPr>
          <w:rFonts w:ascii="Cambria" w:hAnsi="Cambria" w:eastAsia="Cambria" w:cs="Cambria"/>
          <w:b w:val="0"/>
          <w:i w:val="0"/>
          <w:color w:val="2E3338"/>
          <w:sz w:val="44"/>
        </w:rPr>
        <w:t xml:space="preserve">Daniel Okafor</w:t>
      </w:r>
    </w:p>
    <w:p>
      <w:pPr>
        <w:spacing w:before="0" w:after="160"/>
      </w:pPr>
      <w:r>
        <w:rPr>
          <w:rFonts w:ascii="Calibri" w:hAnsi="Calibri" w:eastAsia="Calibri" w:cs="Calibri"/>
          <w:b/>
          <w:i w:val="0"/>
          <w:color w:val="5F6B77"/>
          <w:sz w:val="22"/>
        </w:rPr>
        <w:t xml:space="preserve">Program Manager (Key Personnel)</w:t>
      </w:r>
      <w:r>
        <w:rPr>
          <w:rFonts w:ascii="Calibri" w:hAnsi="Calibri" w:eastAsia="Calibri" w:cs="Calibri"/>
          <w:b w:val="0"/>
          <w:i w:val="0"/>
          <w:color w:val="6B6D70"/>
          <w:sz w:val="20"/>
        </w:rPr>
        <w:t xml:space="preserve">   ·   Arcadia Engineering Partners, Inc.</w:t>
      </w:r>
    </w:p>
    <w:tbl>
      <w:tblPr>
        <w:tblLook w:firstColumn="1" w:firstRow="1" w:lastColumn="0" w:lastRow="0" w:noHBand="0" w:noVBand="1" w:val="04A0"/>
        <w:tblW w:w="9864" w:type="dxa"/>
        <w:jc w:val="left"/>
        <w:tblInd w:w="15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F1F2F3"/>
            <w:vAlign w:val="top"/>
            <w:tcBorders>
              <w:top w:val="single" w:sz="18" w:space="0" w:color="5F6B77"/>
            </w:tcBorders>
            <w:tcMar>
              <w:top w:w="110" w:type="dxa"/>
              <w:left w:w="150" w:type="dxa"/>
              <w:bottom w:w="12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5"/>
              </w:rPr>
              <w:t>Labor category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Program Manager III</w:t>
            </w:r>
          </w:p>
        </w:tc>
        <w:tc>
          <w:tcPr>
            <w:tcW w:type="dxa" w:w="2466"/>
            <w:shd w:val="clear" w:color="auto" w:fill="F1F2F3"/>
            <w:vAlign w:val="top"/>
            <w:tcBorders>
              <w:top w:val="single" w:sz="18" w:space="0" w:color="5F6B77"/>
            </w:tcBorders>
            <w:tcMar>
              <w:top w:w="110" w:type="dxa"/>
              <w:left w:w="150" w:type="dxa"/>
              <w:bottom w:w="12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5"/>
              </w:rPr>
              <w:t>Years of experience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22 years</w:t>
            </w:r>
          </w:p>
        </w:tc>
        <w:tc>
          <w:tcPr>
            <w:tcW w:type="dxa" w:w="2466"/>
            <w:shd w:val="clear" w:color="auto" w:fill="F1F2F3"/>
            <w:vAlign w:val="top"/>
            <w:tcBorders>
              <w:top w:val="single" w:sz="18" w:space="0" w:color="5F6B77"/>
            </w:tcBorders>
            <w:tcMar>
              <w:top w:w="110" w:type="dxa"/>
              <w:left w:w="150" w:type="dxa"/>
              <w:bottom w:w="12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5"/>
              </w:rPr>
              <w:t>Security clearance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Secret (active)</w:t>
            </w:r>
          </w:p>
        </w:tc>
        <w:tc>
          <w:tcPr>
            <w:tcW w:type="dxa" w:w="2466"/>
            <w:shd w:val="clear" w:color="auto" w:fill="F1F2F3"/>
            <w:vAlign w:val="top"/>
            <w:tcBorders>
              <w:top w:val="single" w:sz="18" w:space="0" w:color="5F6B77"/>
            </w:tcBorders>
            <w:tcMar>
              <w:top w:w="110" w:type="dxa"/>
              <w:left w:w="150" w:type="dxa"/>
              <w:bottom w:w="12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5"/>
              </w:rPr>
              <w:t>Availability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At contract award</w:t>
            </w:r>
          </w:p>
        </w:tc>
      </w:tr>
    </w:tbl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6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763"/>
        <w:gridCol w:w="340"/>
        <w:gridCol w:w="4763"/>
      </w:tblGrid>
      <w:tr>
        <w:tc>
          <w:tcPr>
            <w:tcW w:type="dxa" w:w="4763"/>
            <w:vAlign w:val="top"/>
          </w:tcPr>
          <w:p>
            <w:pPr>
              <w:spacing w:before="0" w:after="0" w:line="2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spacing w:before="160" w:after="100"/>
              <w:pBdr>
                <w:bottom w:val="single" w:sz="6" w:space="4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Education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MS, Information Systems Management, George Mason University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BEng, Civil Engineering, University of Nottingham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4763"/>
            <w:vAlign w:val="top"/>
          </w:tcPr>
          <w:p>
            <w:pPr>
              <w:spacing w:before="0" w:after="0" w:line="2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spacing w:before="160" w:after="100"/>
              <w:pBdr>
                <w:bottom w:val="single" w:sz="6" w:space="4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Certifications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Project Management Professional (PMP)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ITIL 4 Foundation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Certified ScrumMaster (CSM)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0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Summary of qualifications</w:t>
      </w:r>
    </w:p>
    <w:p>
      <w:pPr>
        <w:spacing w:before="0" w:after="80"/>
        <w:jc w:val="both"/>
      </w:pPr>
      <w:r>
        <w:rPr>
          <w:rFonts w:ascii="Calibri" w:hAnsi="Calibri" w:eastAsia="Calibri" w:cs="Calibri"/>
          <w:b w:val="0"/>
          <w:i w:val="0"/>
          <w:sz w:val="19"/>
        </w:rPr>
        <w:t xml:space="preserve">Daniel has 22 years of program and project management, the last 10 leading infrastructure and IT modernization programs for public-sector clients with teams of up to 85 staff and budgets of up to $60M a year.</w:t>
      </w:r>
    </w:p>
    <w:tbl>
      <w:tblPr>
        <w:tblLook w:firstColumn="1" w:firstRow="1" w:lastColumn="0" w:lastRow="0" w:noHBand="0" w:noVBand="1" w:val="04A0"/>
        <w:tblW w:w="9866" w:type="dxa"/>
        <w:jc w:val="left"/>
        <w:tblInd w:w="11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6464"/>
      </w:tblGrid>
      <w:tr>
        <w:trPr>
          <w:tblHeader/>
          <w:cantSplit/>
        </w:trPr>
        <w:tc>
          <w:tcPr>
            <w:tcW w:type="dxa" w:w="3402"/>
            <w:shd w:val="clear" w:color="auto" w:fill="2E3338"/>
            <w:vAlign w:val="center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5"/>
                <w:spacing w:val="15"/>
              </w:rPr>
              <w:t>Requirement</w:t>
            </w:r>
          </w:p>
        </w:tc>
        <w:tc>
          <w:tcPr>
            <w:tcW w:type="dxa" w:w="6464"/>
            <w:shd w:val="clear" w:color="auto" w:fill="2E3338"/>
            <w:vAlign w:val="center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5"/>
                <w:spacing w:val="15"/>
              </w:rPr>
              <w:t>How this person meets it</w:t>
            </w:r>
          </w:p>
        </w:tc>
      </w:tr>
      <w:tr>
        <w:trPr>
          <w:cantSplit/>
        </w:trPr>
        <w:tc>
          <w:tcPr>
            <w:tcW w:type="dxa" w:w="3402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10+ years managing programs of comparable size</w:t>
            </w:r>
          </w:p>
        </w:tc>
        <w:tc>
          <w:tcPr>
            <w:tcW w:type="dxa" w:w="6464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14 years as program or project manager; largest program $60M a year, 85 staff.</w:t>
            </w:r>
          </w:p>
        </w:tc>
      </w:tr>
      <w:tr>
        <w:trPr>
          <w:cantSplit/>
        </w:trPr>
        <w:tc>
          <w:tcPr>
            <w:tcW w:type="dxa" w:w="3402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PMP certification</w:t>
            </w:r>
          </w:p>
        </w:tc>
        <w:tc>
          <w:tcPr>
            <w:tcW w:type="dxa" w:w="6464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PMP, Project Management Institute (since 2009).</w:t>
            </w:r>
          </w:p>
        </w:tc>
      </w:tr>
      <w:tr>
        <w:trPr>
          <w:cantSplit/>
        </w:trPr>
        <w:tc>
          <w:tcPr>
            <w:tcW w:type="dxa" w:w="3402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Active Secret clearance</w:t>
            </w:r>
          </w:p>
        </w:tc>
        <w:tc>
          <w:tcPr>
            <w:tcW w:type="dxa" w:w="6464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Secret clearance, active.</w:t>
            </w:r>
          </w:p>
        </w:tc>
      </w:tr>
      <w:tr>
        <w:trPr>
          <w:cantSplit/>
        </w:trPr>
        <w:tc>
          <w:tcPr>
            <w:tcW w:type="dxa" w:w="3402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Experience transitioning incumbent contracts</w:t>
            </w:r>
          </w:p>
        </w:tc>
        <w:tc>
          <w:tcPr>
            <w:tcW w:type="dxa" w:w="6464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Led two 60-day transitions with no loss of service.</w:t>
            </w:r>
          </w:p>
        </w:tc>
      </w:tr>
    </w:tbl>
    <w:p>
      <w:pPr>
        <w:keepNext/>
        <w:spacing w:before="20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Relevant experience</w:t>
      </w:r>
    </w:p>
    <w:p>
      <w:pPr>
        <w:keepNext/>
        <w:tabs>
          <w:tab w:pos="9866" w:val="right"/>
        </w:tabs>
        <w:spacing w:before="120" w:after="0"/>
      </w:pPr>
      <w:r>
        <w:rPr>
          <w:rFonts w:ascii="Calibri" w:hAnsi="Calibri" w:eastAsia="Calibri" w:cs="Calibri"/>
          <w:b/>
          <w:i w:val="0"/>
          <w:color w:val="2E3338"/>
          <w:sz w:val="20"/>
        </w:rPr>
        <w:t xml:space="preserve">Program Manager</w:t>
      </w:r>
      <w:r>
        <w:rPr>
          <w:rFonts w:ascii="Calibri" w:hAnsi="Calibri" w:eastAsia="Calibri" w:cs="Calibri"/>
          <w:b/>
          <w:i w:val="0"/>
          <w:color w:val="5F6B77"/>
          <w:sz w:val="17"/>
        </w:rPr>
        <w:tab/>
        <w:t xml:space="preserve">2019 – Present</w:t>
      </w:r>
    </w:p>
    <w:p>
      <w:pPr>
        <w:keepNext/>
        <w:spacing w:before="0" w:after="20"/>
      </w:pP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Arcadia Engineering Partners, Inc.</w:t>
      </w: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   ·   Facilities IT Modernization task order</w:t>
      </w:r>
    </w:p>
    <w:p>
      <w:pPr>
        <w:tabs>
          <w:tab w:pos="238" w:val="left"/>
        </w:tabs>
        <w:spacing w:before="2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Leads an 85-person team across network, end-user and facilities systems</w:t>
      </w:r>
    </w:p>
    <w:p>
      <w:pPr>
        <w:tabs>
          <w:tab w:pos="238" w:val="left"/>
        </w:tabs>
        <w:spacing w:before="2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Owns the integrated master schedule, risk register and monthly program reviews</w:t>
      </w:r>
    </w:p>
    <w:p>
      <w:pPr>
        <w:tabs>
          <w:tab w:pos="238" w:val="left"/>
        </w:tabs>
        <w:spacing w:before="2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Manages four subcontractors and the transition-in plan</w:t>
      </w:r>
    </w:p>
    <w:p>
      <w:pPr>
        <w:spacing w:before="40" w:after="40"/>
        <w:ind w:left="238"/>
      </w:pP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Outcome  </w:t>
      </w:r>
      <w:r>
        <w:rPr>
          <w:rFonts w:ascii="Calibri" w:hAnsi="Calibri" w:eastAsia="Calibri" w:cs="Calibri"/>
          <w:b w:val="0"/>
          <w:i/>
          <w:sz w:val="18"/>
        </w:rPr>
        <w:t xml:space="preserve">Delivered the data-center consolidation three months early; CPARS rating Very Good.</w:t>
      </w:r>
    </w:p>
    <w:p>
      <w:pPr>
        <w:keepNext/>
        <w:tabs>
          <w:tab w:pos="9866" w:val="right"/>
        </w:tabs>
        <w:spacing w:before="120" w:after="0"/>
      </w:pPr>
      <w:r>
        <w:rPr>
          <w:rFonts w:ascii="Calibri" w:hAnsi="Calibri" w:eastAsia="Calibri" w:cs="Calibri"/>
          <w:b/>
          <w:i w:val="0"/>
          <w:color w:val="2E3338"/>
          <w:sz w:val="20"/>
        </w:rPr>
        <w:t xml:space="preserve">Senior Project Manager</w:t>
      </w:r>
      <w:r>
        <w:rPr>
          <w:rFonts w:ascii="Calibri" w:hAnsi="Calibri" w:eastAsia="Calibri" w:cs="Calibri"/>
          <w:b/>
          <w:i w:val="0"/>
          <w:color w:val="5F6B77"/>
          <w:sz w:val="17"/>
        </w:rPr>
        <w:tab/>
        <w:t xml:space="preserve">2012 – 2019</w:t>
      </w:r>
    </w:p>
    <w:p>
      <w:pPr>
        <w:keepNext/>
        <w:spacing w:before="0" w:after="20"/>
      </w:pP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Calder &amp; Whitby Consulting Engineers</w:t>
      </w: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   ·   State transport systems program</w:t>
      </w:r>
    </w:p>
    <w:p>
      <w:pPr>
        <w:tabs>
          <w:tab w:pos="238" w:val="left"/>
        </w:tabs>
        <w:spacing w:before="2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Managed traffic-management system upgrades across 120 sites</w:t>
      </w:r>
    </w:p>
    <w:p>
      <w:pPr>
        <w:tabs>
          <w:tab w:pos="238" w:val="left"/>
        </w:tabs>
        <w:spacing w:before="2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Ran earned-value reporting and change control</w:t>
      </w:r>
    </w:p>
    <w:p>
      <w:pPr>
        <w:spacing w:before="40" w:after="40"/>
        <w:ind w:left="238"/>
      </w:pP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Outcome  </w:t>
      </w:r>
      <w:r>
        <w:rPr>
          <w:rFonts w:ascii="Calibri" w:hAnsi="Calibri" w:eastAsia="Calibri" w:cs="Calibri"/>
          <w:b w:val="0"/>
          <w:i/>
          <w:sz w:val="18"/>
        </w:rPr>
        <w:t xml:space="preserve">Closed the program 4% under budget.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2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30"/>
        </w:rPr>
        <w:t>Key personnel resume</w:t>
      </w:r>
      <w:r>
        <w:rPr>
          <w:rFonts w:ascii="Calibri" w:hAnsi="Calibri" w:eastAsia="Calibri" w:cs="Calibri"/>
          <w:b w:val="0"/>
          <w:i w:val="0"/>
          <w:color w:val="6B6D70"/>
          <w:sz w:val="16"/>
        </w:rPr>
        <w:t xml:space="preserve">   ·   Enterprise Infrastructure Modernization Support</w:t>
      </w:r>
    </w:p>
    <w:p>
      <w:pPr>
        <w:spacing w:before="0" w:after="40"/>
      </w:pPr>
      <w:r>
        <w:rPr>
          <w:rFonts w:ascii="Cambria" w:hAnsi="Cambria" w:eastAsia="Cambria" w:cs="Cambria"/>
          <w:b w:val="0"/>
          <w:i w:val="0"/>
          <w:color w:val="2E3338"/>
          <w:sz w:val="44"/>
        </w:rPr>
        <w:t xml:space="preserve">Sofia Lindqvist</w:t>
      </w:r>
    </w:p>
    <w:p>
      <w:pPr>
        <w:spacing w:before="0" w:after="160"/>
      </w:pPr>
      <w:r>
        <w:rPr>
          <w:rFonts w:ascii="Calibri" w:hAnsi="Calibri" w:eastAsia="Calibri" w:cs="Calibri"/>
          <w:b/>
          <w:i w:val="0"/>
          <w:color w:val="5F6B77"/>
          <w:sz w:val="22"/>
        </w:rPr>
        <w:t xml:space="preserve">Lead Cost Analyst</w:t>
      </w:r>
      <w:r>
        <w:rPr>
          <w:rFonts w:ascii="Calibri" w:hAnsi="Calibri" w:eastAsia="Calibri" w:cs="Calibri"/>
          <w:b w:val="0"/>
          <w:i w:val="0"/>
          <w:color w:val="6B6D70"/>
          <w:sz w:val="20"/>
        </w:rPr>
        <w:t xml:space="preserve">   ·   Arcadia Engineering Partners, Inc.</w:t>
      </w:r>
    </w:p>
    <w:tbl>
      <w:tblPr>
        <w:tblLook w:firstColumn="1" w:firstRow="1" w:lastColumn="0" w:lastRow="0" w:noHBand="0" w:noVBand="1" w:val="04A0"/>
        <w:tblW w:w="9864" w:type="dxa"/>
        <w:jc w:val="left"/>
        <w:tblInd w:w="15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F1F2F3"/>
            <w:vAlign w:val="top"/>
            <w:tcBorders>
              <w:top w:val="single" w:sz="18" w:space="0" w:color="5F6B77"/>
            </w:tcBorders>
            <w:tcMar>
              <w:top w:w="110" w:type="dxa"/>
              <w:left w:w="150" w:type="dxa"/>
              <w:bottom w:w="12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5"/>
              </w:rPr>
              <w:t>Labor category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Cost and Schedule Analyst II</w:t>
            </w:r>
          </w:p>
        </w:tc>
        <w:tc>
          <w:tcPr>
            <w:tcW w:type="dxa" w:w="2466"/>
            <w:shd w:val="clear" w:color="auto" w:fill="F1F2F3"/>
            <w:vAlign w:val="top"/>
            <w:tcBorders>
              <w:top w:val="single" w:sz="18" w:space="0" w:color="5F6B77"/>
            </w:tcBorders>
            <w:tcMar>
              <w:top w:w="110" w:type="dxa"/>
              <w:left w:w="150" w:type="dxa"/>
              <w:bottom w:w="12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5"/>
              </w:rPr>
              <w:t>Years of experience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15 years</w:t>
            </w:r>
          </w:p>
        </w:tc>
        <w:tc>
          <w:tcPr>
            <w:tcW w:type="dxa" w:w="2466"/>
            <w:shd w:val="clear" w:color="auto" w:fill="F1F2F3"/>
            <w:vAlign w:val="top"/>
            <w:tcBorders>
              <w:top w:val="single" w:sz="18" w:space="0" w:color="5F6B77"/>
            </w:tcBorders>
            <w:tcMar>
              <w:top w:w="110" w:type="dxa"/>
              <w:left w:w="150" w:type="dxa"/>
              <w:bottom w:w="12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5"/>
              </w:rPr>
              <w:t>Security clearance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Not stated</w:t>
            </w:r>
          </w:p>
        </w:tc>
        <w:tc>
          <w:tcPr>
            <w:tcW w:type="dxa" w:w="2466"/>
            <w:shd w:val="clear" w:color="auto" w:fill="F1F2F3"/>
            <w:vAlign w:val="top"/>
            <w:tcBorders>
              <w:top w:val="single" w:sz="18" w:space="0" w:color="5F6B77"/>
            </w:tcBorders>
            <w:tcMar>
              <w:top w:w="110" w:type="dxa"/>
              <w:left w:w="150" w:type="dxa"/>
              <w:bottom w:w="12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5"/>
              </w:rPr>
              <w:t>Availability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 weeks from award</w:t>
            </w:r>
          </w:p>
        </w:tc>
      </w:tr>
    </w:tbl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6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763"/>
        <w:gridCol w:w="340"/>
        <w:gridCol w:w="4763"/>
      </w:tblGrid>
      <w:tr>
        <w:tc>
          <w:tcPr>
            <w:tcW w:type="dxa" w:w="4763"/>
            <w:vAlign w:val="top"/>
          </w:tcPr>
          <w:p>
            <w:pPr>
              <w:spacing w:before="0" w:after="0" w:line="2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spacing w:before="160" w:after="100"/>
              <w:pBdr>
                <w:bottom w:val="single" w:sz="6" w:space="4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Education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MSc, Quantity Surveying, University of Salford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4763"/>
            <w:vAlign w:val="top"/>
          </w:tcPr>
          <w:p>
            <w:pPr>
              <w:spacing w:before="0" w:after="0" w:line="2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spacing w:before="160" w:after="100"/>
              <w:pBdr>
                <w:bottom w:val="single" w:sz="6" w:space="4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Certifications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Earned Value Professional (EVP)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MRICS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0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Summary of qualifications</w:t>
      </w:r>
    </w:p>
    <w:p>
      <w:pPr>
        <w:spacing w:before="0" w:after="80"/>
        <w:jc w:val="both"/>
      </w:pPr>
      <w:r>
        <w:rPr>
          <w:rFonts w:ascii="Calibri" w:hAnsi="Calibri" w:eastAsia="Calibri" w:cs="Calibri"/>
          <w:b w:val="0"/>
          <w:i w:val="0"/>
          <w:sz w:val="19"/>
        </w:rPr>
        <w:t xml:space="preserve">Sofia has 15 years of cost control, earned value and contract administration.</w:t>
      </w:r>
    </w:p>
    <w:tbl>
      <w:tblPr>
        <w:tblLook w:firstColumn="1" w:firstRow="1" w:lastColumn="0" w:lastRow="0" w:noHBand="0" w:noVBand="1" w:val="04A0"/>
        <w:tblW w:w="9866" w:type="dxa"/>
        <w:jc w:val="left"/>
        <w:tblInd w:w="11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6464"/>
      </w:tblGrid>
      <w:tr>
        <w:trPr>
          <w:tblHeader/>
          <w:cantSplit/>
        </w:trPr>
        <w:tc>
          <w:tcPr>
            <w:tcW w:type="dxa" w:w="3402"/>
            <w:shd w:val="clear" w:color="auto" w:fill="2E3338"/>
            <w:vAlign w:val="center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5"/>
                <w:spacing w:val="15"/>
              </w:rPr>
              <w:t>Requirement</w:t>
            </w:r>
          </w:p>
        </w:tc>
        <w:tc>
          <w:tcPr>
            <w:tcW w:type="dxa" w:w="6464"/>
            <w:shd w:val="clear" w:color="auto" w:fill="2E3338"/>
            <w:vAlign w:val="center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5"/>
                <w:spacing w:val="15"/>
              </w:rPr>
              <w:t>How this person meets it</w:t>
            </w:r>
          </w:p>
        </w:tc>
      </w:tr>
      <w:tr>
        <w:trPr>
          <w:cantSplit/>
        </w:trPr>
        <w:tc>
          <w:tcPr>
            <w:tcW w:type="dxa" w:w="3402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EVM experience on federal programs</w:t>
            </w:r>
          </w:p>
        </w:tc>
        <w:tc>
          <w:tcPr>
            <w:tcW w:type="dxa" w:w="6464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Earned value reporting on two programs over $40M.</w:t>
            </w:r>
          </w:p>
        </w:tc>
      </w:tr>
    </w:tbl>
    <w:p>
      <w:pPr>
        <w:keepNext/>
        <w:spacing w:before="20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Relevant experience</w:t>
      </w:r>
    </w:p>
    <w:p>
      <w:pPr>
        <w:keepNext/>
        <w:tabs>
          <w:tab w:pos="9866" w:val="right"/>
        </w:tabs>
        <w:spacing w:before="120" w:after="0"/>
      </w:pPr>
      <w:r>
        <w:rPr>
          <w:rFonts w:ascii="Calibri" w:hAnsi="Calibri" w:eastAsia="Calibri" w:cs="Calibri"/>
          <w:b/>
          <w:i w:val="0"/>
          <w:color w:val="2E3338"/>
          <w:sz w:val="20"/>
        </w:rPr>
        <w:t xml:space="preserve">Lead Cost Analyst</w:t>
      </w:r>
      <w:r>
        <w:rPr>
          <w:rFonts w:ascii="Calibri" w:hAnsi="Calibri" w:eastAsia="Calibri" w:cs="Calibri"/>
          <w:b/>
          <w:i w:val="0"/>
          <w:color w:val="5F6B77"/>
          <w:sz w:val="17"/>
        </w:rPr>
        <w:tab/>
        <w:t xml:space="preserve">2021 – Present</w:t>
      </w:r>
    </w:p>
    <w:p>
      <w:pPr>
        <w:keepNext/>
        <w:spacing w:before="0" w:after="20"/>
      </w:pP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Arcadia Engineering Partners, Inc.</w:t>
      </w: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   ·   Facilities IT Modernization task order</w:t>
      </w:r>
    </w:p>
    <w:p>
      <w:pPr>
        <w:tabs>
          <w:tab w:pos="238" w:val="left"/>
        </w:tabs>
        <w:spacing w:before="2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Builds monthly EVM reports and estimates at completion</w:t>
      </w:r>
    </w:p>
    <w:p>
      <w:pPr>
        <w:tabs>
          <w:tab w:pos="238" w:val="left"/>
        </w:tabs>
        <w:spacing w:before="2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Reviews subcontractor invoices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2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30"/>
        </w:rPr>
        <w:t>Key personnel resume</w:t>
      </w:r>
      <w:r>
        <w:rPr>
          <w:rFonts w:ascii="Calibri" w:hAnsi="Calibri" w:eastAsia="Calibri" w:cs="Calibri"/>
          <w:b w:val="0"/>
          <w:i w:val="0"/>
          <w:color w:val="6B6D70"/>
          <w:sz w:val="16"/>
        </w:rPr>
        <w:t xml:space="preserve">   ·   Enterprise Infrastructure Modernization Support</w:t>
      </w:r>
    </w:p>
    <w:p>
      <w:pPr>
        <w:spacing w:before="0" w:after="40"/>
      </w:pPr>
      <w:r>
        <w:rPr>
          <w:rFonts w:ascii="Cambria" w:hAnsi="Cambria" w:eastAsia="Cambria" w:cs="Cambria"/>
          <w:b w:val="0"/>
          <w:i w:val="0"/>
          <w:color w:val="2E3338"/>
          <w:sz w:val="44"/>
        </w:rPr>
        <w:t xml:space="preserve">Imogen Ashdown</w:t>
      </w:r>
    </w:p>
    <w:p>
      <w:pPr>
        <w:spacing w:before="0" w:after="160"/>
      </w:pPr>
      <w:r>
        <w:rPr>
          <w:rFonts w:ascii="Calibri" w:hAnsi="Calibri" w:eastAsia="Calibri" w:cs="Calibri"/>
          <w:b/>
          <w:i w:val="0"/>
          <w:color w:val="5F6B77"/>
          <w:sz w:val="22"/>
        </w:rPr>
        <w:t xml:space="preserve">Information System Security Lead</w:t>
      </w:r>
      <w:r>
        <w:rPr>
          <w:rFonts w:ascii="Calibri" w:hAnsi="Calibri" w:eastAsia="Calibri" w:cs="Calibri"/>
          <w:b w:val="0"/>
          <w:i w:val="0"/>
          <w:color w:val="6B6D70"/>
          <w:sz w:val="20"/>
        </w:rPr>
        <w:t xml:space="preserve">   ·   Arcadia Engineering Partners, Inc.</w:t>
      </w:r>
    </w:p>
    <w:tbl>
      <w:tblPr>
        <w:tblLook w:firstColumn="1" w:firstRow="1" w:lastColumn="0" w:lastRow="0" w:noHBand="0" w:noVBand="1" w:val="04A0"/>
        <w:tblW w:w="9864" w:type="dxa"/>
        <w:jc w:val="left"/>
        <w:tblInd w:w="15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F1F2F3"/>
            <w:vAlign w:val="top"/>
            <w:tcBorders>
              <w:top w:val="single" w:sz="18" w:space="0" w:color="5F6B77"/>
            </w:tcBorders>
            <w:tcMar>
              <w:top w:w="110" w:type="dxa"/>
              <w:left w:w="150" w:type="dxa"/>
              <w:bottom w:w="12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5"/>
              </w:rPr>
              <w:t>Labor category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Cybersecurity Engineer III</w:t>
            </w:r>
          </w:p>
        </w:tc>
        <w:tc>
          <w:tcPr>
            <w:tcW w:type="dxa" w:w="2466"/>
            <w:shd w:val="clear" w:color="auto" w:fill="F1F2F3"/>
            <w:vAlign w:val="top"/>
            <w:tcBorders>
              <w:top w:val="single" w:sz="18" w:space="0" w:color="5F6B77"/>
            </w:tcBorders>
            <w:tcMar>
              <w:top w:w="110" w:type="dxa"/>
              <w:left w:w="150" w:type="dxa"/>
              <w:bottom w:w="12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5"/>
              </w:rPr>
              <w:t>Years of experience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12 years</w:t>
            </w:r>
          </w:p>
        </w:tc>
        <w:tc>
          <w:tcPr>
            <w:tcW w:type="dxa" w:w="2466"/>
            <w:shd w:val="clear" w:color="auto" w:fill="F1F2F3"/>
            <w:vAlign w:val="top"/>
            <w:tcBorders>
              <w:top w:val="single" w:sz="18" w:space="0" w:color="5F6B77"/>
            </w:tcBorders>
            <w:tcMar>
              <w:top w:w="110" w:type="dxa"/>
              <w:left w:w="150" w:type="dxa"/>
              <w:bottom w:w="12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5"/>
              </w:rPr>
              <w:t>Security clearance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Top Secret (active)</w:t>
            </w:r>
          </w:p>
        </w:tc>
        <w:tc>
          <w:tcPr>
            <w:tcW w:type="dxa" w:w="2466"/>
            <w:shd w:val="clear" w:color="auto" w:fill="F1F2F3"/>
            <w:vAlign w:val="top"/>
            <w:tcBorders>
              <w:top w:val="single" w:sz="18" w:space="0" w:color="5F6B77"/>
            </w:tcBorders>
            <w:tcMar>
              <w:top w:w="110" w:type="dxa"/>
              <w:left w:w="150" w:type="dxa"/>
              <w:bottom w:w="12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5"/>
              </w:rPr>
              <w:t>Availability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At contract award</w:t>
            </w:r>
          </w:p>
        </w:tc>
      </w:tr>
    </w:tbl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866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763"/>
        <w:gridCol w:w="340"/>
        <w:gridCol w:w="4763"/>
      </w:tblGrid>
      <w:tr>
        <w:tc>
          <w:tcPr>
            <w:tcW w:type="dxa" w:w="4763"/>
            <w:vAlign w:val="top"/>
          </w:tcPr>
          <w:p>
            <w:pPr>
              <w:spacing w:before="0" w:after="0" w:line="2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spacing w:before="160" w:after="100"/>
              <w:pBdr>
                <w:bottom w:val="single" w:sz="6" w:space="4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Education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BS, Computer Science, University of Maryland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4763"/>
            <w:vAlign w:val="top"/>
          </w:tcPr>
          <w:p>
            <w:pPr>
              <w:spacing w:before="0" w:after="0" w:line="20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  <w:p>
            <w:pPr>
              <w:keepNext/>
              <w:spacing w:before="160" w:after="100"/>
              <w:pBdr>
                <w:bottom w:val="single" w:sz="6" w:space="4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Certifications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CISSP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CompTIA Security+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AWS Certified Security – Specialty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0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Summary of qualifications</w:t>
      </w:r>
    </w:p>
    <w:p>
      <w:pPr>
        <w:spacing w:before="0" w:after="80"/>
        <w:jc w:val="both"/>
      </w:pPr>
      <w:r>
        <w:rPr>
          <w:rFonts w:ascii="Calibri" w:hAnsi="Calibri" w:eastAsia="Calibri" w:cs="Calibri"/>
          <w:b w:val="0"/>
          <w:i w:val="0"/>
          <w:sz w:val="19"/>
        </w:rPr>
        <w:t xml:space="preserve">Imogen has 12 years in security engineering, assessment and authorization and incident response.</w:t>
      </w:r>
    </w:p>
    <w:tbl>
      <w:tblPr>
        <w:tblLook w:firstColumn="1" w:firstRow="1" w:lastColumn="0" w:lastRow="0" w:noHBand="0" w:noVBand="1" w:val="04A0"/>
        <w:tblW w:w="9866" w:type="dxa"/>
        <w:jc w:val="left"/>
        <w:tblInd w:w="11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6464"/>
      </w:tblGrid>
      <w:tr>
        <w:trPr>
          <w:tblHeader/>
          <w:cantSplit/>
        </w:trPr>
        <w:tc>
          <w:tcPr>
            <w:tcW w:type="dxa" w:w="3402"/>
            <w:shd w:val="clear" w:color="auto" w:fill="2E3338"/>
            <w:vAlign w:val="center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5"/>
                <w:spacing w:val="15"/>
              </w:rPr>
              <w:t>Requirement</w:t>
            </w:r>
          </w:p>
        </w:tc>
        <w:tc>
          <w:tcPr>
            <w:tcW w:type="dxa" w:w="6464"/>
            <w:shd w:val="clear" w:color="auto" w:fill="2E3338"/>
            <w:vAlign w:val="center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5"/>
                <w:spacing w:val="15"/>
              </w:rPr>
              <w:t>How this person meets it</w:t>
            </w:r>
          </w:p>
        </w:tc>
      </w:tr>
      <w:tr>
        <w:trPr>
          <w:cantSplit/>
        </w:trPr>
        <w:tc>
          <w:tcPr>
            <w:tcW w:type="dxa" w:w="3402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CISSP or equivalent DoD 8140 baseline</w:t>
            </w:r>
          </w:p>
        </w:tc>
        <w:tc>
          <w:tcPr>
            <w:tcW w:type="dxa" w:w="6464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CISSP (2017); Security+ (2014).</w:t>
            </w:r>
          </w:p>
        </w:tc>
      </w:tr>
      <w:tr>
        <w:trPr>
          <w:cantSplit/>
        </w:trPr>
        <w:tc>
          <w:tcPr>
            <w:tcW w:type="dxa" w:w="3402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RMF assessment experience</w:t>
            </w:r>
          </w:p>
        </w:tc>
        <w:tc>
          <w:tcPr>
            <w:tcW w:type="dxa" w:w="6464"/>
            <w:tcBorders>
              <w:bottom w:val="single" w:sz="4" w:space="0" w:color="DFE0E1"/>
            </w:tcBorders>
            <w:vAlign w:val="top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Led authorization packages for nine systems.</w:t>
            </w:r>
          </w:p>
        </w:tc>
      </w:tr>
    </w:tbl>
    <w:p>
      <w:pPr>
        <w:keepNext/>
        <w:spacing w:before="20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Relevant experience</w:t>
      </w:r>
    </w:p>
    <w:p>
      <w:pPr>
        <w:keepNext/>
        <w:tabs>
          <w:tab w:pos="9866" w:val="right"/>
        </w:tabs>
        <w:spacing w:before="120" w:after="0"/>
      </w:pPr>
      <w:r>
        <w:rPr>
          <w:rFonts w:ascii="Calibri" w:hAnsi="Calibri" w:eastAsia="Calibri" w:cs="Calibri"/>
          <w:b/>
          <w:i w:val="0"/>
          <w:color w:val="2E3338"/>
          <w:sz w:val="20"/>
        </w:rPr>
        <w:t xml:space="preserve">Information System Security Lead</w:t>
      </w:r>
      <w:r>
        <w:rPr>
          <w:rFonts w:ascii="Calibri" w:hAnsi="Calibri" w:eastAsia="Calibri" w:cs="Calibri"/>
          <w:b/>
          <w:i w:val="0"/>
          <w:color w:val="5F6B77"/>
          <w:sz w:val="17"/>
        </w:rPr>
        <w:tab/>
        <w:t xml:space="preserve">2020 – Present</w:t>
      </w:r>
    </w:p>
    <w:p>
      <w:pPr>
        <w:keepNext/>
        <w:spacing w:before="0" w:after="20"/>
      </w:pP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Arcadia Engineering Partners, Inc.</w:t>
      </w: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   ·   Facilities IT Modernization task order</w:t>
      </w:r>
    </w:p>
    <w:p>
      <w:pPr>
        <w:tabs>
          <w:tab w:pos="238" w:val="left"/>
        </w:tabs>
        <w:spacing w:before="2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Leads RMF packages and continuous monitoring</w:t>
      </w:r>
    </w:p>
    <w:p>
      <w:pPr>
        <w:tabs>
          <w:tab w:pos="238" w:val="left"/>
        </w:tabs>
        <w:spacing w:before="2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8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Runs vulnerability management</w:t>
      </w:r>
    </w:p>
    <w:p>
      <w:pPr>
        <w:spacing w:before="40" w:after="40"/>
        <w:ind w:left="238"/>
      </w:pP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Outcome  </w:t>
      </w:r>
      <w:r>
        <w:rPr>
          <w:rFonts w:ascii="Calibri" w:hAnsi="Calibri" w:eastAsia="Calibri" w:cs="Calibri"/>
          <w:b w:val="0"/>
          <w:i/>
          <w:sz w:val="18"/>
        </w:rPr>
        <w:t xml:space="preserve">Nine authorizations to operate granted with no high findings open.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850" w:left="1020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Use or disclosure of data contained on this page is subject to the restriction on the title page of this proposal.</w:t>
    </w:r>
  </w:p>
  <w:p>
    <w:pPr>
      <w:tabs>
        <w:tab w:pos="9866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6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Key personnel resume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2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 Key Personnel Resume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