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Expert witness  ·  Curriculum vitae</w:t>
      </w:r>
    </w:p>
    <w:p>
      <w:pPr>
        <w:spacing w:before="0" w:after="40"/>
      </w:pPr>
      <w:r>
        <w:rPr>
          <w:rFonts w:ascii="Cambria" w:hAnsi="Cambria" w:eastAsia="Cambria" w:cs="Cambria"/>
          <w:b w:val="0"/>
          <w:i w:val="0"/>
          <w:color w:val="2E3338"/>
          <w:sz w:val="48"/>
        </w:rPr>
        <w:t xml:space="preserve">Dr Hannah Whitcombe</w:t>
      </w:r>
    </w:p>
    <w:p>
      <w:pPr>
        <w:spacing w:before="0" w:after="40"/>
      </w:pPr>
      <w:r>
        <w:rPr>
          <w:rFonts w:ascii="Calibri" w:hAnsi="Calibri" w:eastAsia="Calibri" w:cs="Calibri"/>
          <w:b/>
          <w:i w:val="0"/>
          <w:color w:val="5F6B77"/>
          <w:sz w:val="24"/>
        </w:rPr>
        <w:t xml:space="preserve">Fire safety engineering</w:t>
      </w:r>
    </w:p>
    <w:p>
      <w:pPr>
        <w:spacing w:before="0" w:after="40"/>
      </w:pPr>
      <w:r>
        <w:rPr>
          <w:rFonts w:ascii="Calibri" w:hAnsi="Calibri" w:eastAsia="Calibri" w:cs="Calibri"/>
          <w:b w:val="0"/>
          <w:i w:val="0"/>
          <w:color w:val="6B6D70"/>
          <w:sz w:val="20"/>
        </w:rPr>
        <w:t xml:space="preserve">Director, Fire Engineering  ·  Calder Fire Consulting Ltd</w:t>
      </w:r>
    </w:p>
    <w:p>
      <w:pPr>
        <w:spacing w:before="0" w:after="120"/>
        <w:pBdr>
          <w:bottom w:val="single" w:sz="6" w:space="4" w:color="DFE0E1"/>
        </w:pBdr>
      </w:pPr>
      <w:r>
        <w:rPr>
          <w:rFonts w:ascii="Calibri" w:hAnsi="Calibri" w:eastAsia="Calibri" w:cs="Calibri"/>
          <w:b w:val="0"/>
          <w:i w:val="0"/>
          <w:sz w:val="4"/>
        </w:rPr>
      </w:r>
    </w:p>
    <w:p>
      <w:pPr>
        <w:spacing w:before="80" w:after="0"/>
        <w:jc w:val="both"/>
      </w:pPr>
      <w:r>
        <w:rPr>
          <w:rFonts w:ascii="Calibri" w:hAnsi="Calibri" w:eastAsia="Calibri" w:cs="Calibri"/>
          <w:b w:val="0"/>
          <w:i w:val="0"/>
          <w:sz w:val="20"/>
        </w:rPr>
        <w:t xml:space="preserve">Hannah is a chartered fire engineer with 19 years in the design and assessment of fire safety in complex buildings. She has given expert evidence on façade fires, compartmentation and means of escape in the Technology and Construction Court and in arbitration.</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63"/>
        <w:gridCol w:w="340"/>
        <w:gridCol w:w="4763"/>
      </w:tblGrid>
      <w:tr>
        <w:tc>
          <w:tcPr>
            <w:tcW w:type="dxa" w:w="4763"/>
            <w:vAlign w:val="top"/>
          </w:tcPr>
          <w:p>
            <w:pPr>
              <w:spacing w:before="0" w:after="0" w:line="20" w:lineRule="exact"/>
            </w:pPr>
            <w:r>
              <w:rPr>
                <w:rFonts w:ascii="Calibri" w:hAnsi="Calibri" w:eastAsia="Calibri" w:cs="Calibri"/>
                <w:b w:val="0"/>
                <w:i w:val="0"/>
                <w:sz w:val="2"/>
              </w:rPr>
            </w:r>
          </w:p>
          <w:p>
            <w:pPr>
              <w:keepNext/>
              <w:spacing w:before="200" w:after="100"/>
              <w:pBdr>
                <w:bottom w:val="single" w:sz="6" w:space="4" w:color="DFE0E1"/>
              </w:pBdr>
            </w:pPr>
            <w:r>
              <w:rPr>
                <w:rFonts w:ascii="Cambria" w:hAnsi="Cambria" w:eastAsia="Cambria" w:cs="Cambria"/>
                <w:b w:val="0"/>
                <w:i w:val="0"/>
                <w:color w:val="2E3338"/>
                <w:sz w:val="24"/>
              </w:rPr>
              <w:t>Qualifications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PhD, Fire Safety Engineering, University of Edinburgh (2009)</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MEng, Civil Engineering, University of Sheffield (2005)</w:t>
            </w:r>
          </w:p>
          <w:p>
            <w:pPr>
              <w:spacing w:before="0" w:after="0" w:line="2" w:lineRule="exact"/>
            </w:pPr>
            <w:r>
              <w:rPr>
                <w:rFonts w:ascii="Calibri" w:hAnsi="Calibri" w:eastAsia="Calibri" w:cs="Calibri"/>
                <w:b w:val="0"/>
                <w:i w:val="0"/>
                <w:sz w:val="2"/>
              </w:rPr>
            </w:r>
          </w:p>
        </w:tc>
        <w:tc>
          <w:tcPr>
            <w:tcW w:type="dxa" w:w="340"/>
          </w:tcPr>
          <w:p/>
        </w:tc>
        <w:tc>
          <w:tcPr>
            <w:tcW w:type="dxa" w:w="4763"/>
            <w:vAlign w:val="top"/>
          </w:tcPr>
          <w:p>
            <w:pPr>
              <w:spacing w:before="0" w:after="0" w:line="20" w:lineRule="exact"/>
            </w:pPr>
            <w:r>
              <w:rPr>
                <w:rFonts w:ascii="Calibri" w:hAnsi="Calibri" w:eastAsia="Calibri" w:cs="Calibri"/>
                <w:b w:val="0"/>
                <w:i w:val="0"/>
                <w:sz w:val="2"/>
              </w:rPr>
            </w:r>
          </w:p>
          <w:p>
            <w:pPr>
              <w:keepNext/>
              <w:spacing w:before="200" w:after="100"/>
              <w:pBdr>
                <w:bottom w:val="single" w:sz="6" w:space="4" w:color="DFE0E1"/>
              </w:pBdr>
            </w:pPr>
            <w:r>
              <w:rPr>
                <w:rFonts w:ascii="Cambria" w:hAnsi="Cambria" w:eastAsia="Cambria" w:cs="Cambria"/>
                <w:b w:val="0"/>
                <w:i w:val="0"/>
                <w:color w:val="2E3338"/>
                <w:sz w:val="24"/>
              </w:rPr>
              <w:t>Professional 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Chartered Engineer (CEng)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Fellow, Institution of Fire Engineers (FIFireE)</w:t>
            </w:r>
          </w:p>
          <w:p>
            <w:pPr>
              <w:spacing w:before="0" w:after="0" w:line="2" w:lineRule="exact"/>
            </w:pPr>
            <w:r>
              <w:rPr>
                <w:rFonts w:ascii="Calibri" w:hAnsi="Calibri" w:eastAsia="Calibri" w:cs="Calibri"/>
                <w:b w:val="0"/>
                <w:i w:val="0"/>
                <w:sz w:val="2"/>
              </w:rPr>
            </w:r>
          </w:p>
        </w:tc>
      </w:tr>
    </w:tbl>
    <w:p>
      <w:pPr>
        <w:keepNext/>
        <w:spacing w:before="240" w:after="100"/>
        <w:pBdr>
          <w:bottom w:val="single" w:sz="6" w:space="4" w:color="DFE0E1"/>
        </w:pBdr>
      </w:pPr>
      <w:r>
        <w:rPr>
          <w:rFonts w:ascii="Cambria" w:hAnsi="Cambria" w:eastAsia="Cambria" w:cs="Cambria"/>
          <w:b w:val="0"/>
          <w:i w:val="0"/>
          <w:color w:val="2E3338"/>
          <w:sz w:val="24"/>
        </w:rPr>
        <w:t>Expert witness experience</w:t>
      </w:r>
    </w:p>
    <w:tbl>
      <w:tblPr>
        <w:tblLook w:firstColumn="1" w:firstRow="1" w:lastColumn="0" w:lastRow="0" w:noHBand="0" w:noVBand="1" w:val="04A0"/>
        <w:tblW w:w="9867" w:type="dxa"/>
        <w:jc w:val="left"/>
        <w:tblInd w:w="160" w:type="dxa"/>
        <w:tblLayout w:type="fixed"/>
        <w:tblBorders>
          <w:top w:val="nil"/>
          <w:left w:val="nil"/>
          <w:bottom w:val="nil"/>
          <w:right w:val="nil"/>
          <w:insideH w:val="nil"/>
          <w:insideV w:val="nil"/>
        </w:tblBorders>
        <w:tblCellMar>
          <w:top w:w="0" w:type="dxa"/>
          <w:left w:w="0" w:type="dxa"/>
          <w:bottom w:w="0" w:type="dxa"/>
          <w:right w:w="0" w:type="dxa"/>
        </w:tblCellMar>
      </w:tblPr>
      <w:tblGrid>
        <w:gridCol w:w="3289"/>
        <w:gridCol w:w="3289"/>
        <w:gridCol w:w="3289"/>
      </w:tblGrid>
      <w:tr>
        <w:tc>
          <w:tcPr>
            <w:tcW w:type="dxa" w:w="3289"/>
            <w:shd w:val="clear" w:color="auto" w:fill="F1F2F3"/>
            <w:vAlign w:val="top"/>
            <w:tcBorders>
              <w:top w:val="single" w:sz="18" w:space="0" w:color="5F6B77"/>
              <w:left w:val="single" w:sz="12" w:space="0" w:color="FFFFFF"/>
              <w:right w:val="single" w:sz="12" w:space="0" w:color="FFFFFF"/>
            </w:tcBorders>
            <w:tcMar>
              <w:top w:w="110" w:type="dxa"/>
              <w:left w:w="160" w:type="dxa"/>
              <w:bottom w:w="120" w:type="dxa"/>
              <w:right w:w="120" w:type="dxa"/>
            </w:tcMar>
          </w:tcPr>
          <w:p>
            <w:pPr>
              <w:spacing w:before="0" w:after="40"/>
            </w:pPr>
            <w:r>
              <w:rPr>
                <w:rFonts w:ascii="Cambria" w:hAnsi="Cambria" w:eastAsia="Cambria" w:cs="Cambria"/>
                <w:b w:val="0"/>
                <w:i w:val="0"/>
                <w:color w:val="2E3338"/>
                <w:sz w:val="30"/>
              </w:rPr>
              <w:t xml:space="preserve">64</w:t>
            </w:r>
          </w:p>
          <w:p>
            <w:pPr>
              <w:spacing w:before="0" w:after="0"/>
            </w:pPr>
            <w:r>
              <w:rPr>
                <w:rFonts w:ascii="Calibri" w:hAnsi="Calibri" w:eastAsia="Calibri" w:cs="Calibri"/>
                <w:b/>
                <w:i w:val="0"/>
                <w:caps/>
                <w:color w:val="5F6B77"/>
                <w:sz w:val="13"/>
                <w:spacing w:val="10"/>
              </w:rPr>
              <w:t>Instructions</w:t>
            </w:r>
          </w:p>
        </w:tc>
        <w:tc>
          <w:tcPr>
            <w:tcW w:type="dxa" w:w="3289"/>
            <w:shd w:val="clear" w:color="auto" w:fill="F1F2F3"/>
            <w:vAlign w:val="top"/>
            <w:tcBorders>
              <w:top w:val="single" w:sz="18" w:space="0" w:color="5F6B77"/>
              <w:left w:val="single" w:sz="12" w:space="0" w:color="FFFFFF"/>
              <w:right w:val="single" w:sz="12" w:space="0" w:color="FFFFFF"/>
            </w:tcBorders>
            <w:tcMar>
              <w:top w:w="110" w:type="dxa"/>
              <w:left w:w="160" w:type="dxa"/>
              <w:bottom w:w="120" w:type="dxa"/>
              <w:right w:w="120" w:type="dxa"/>
            </w:tcMar>
          </w:tcPr>
          <w:p>
            <w:pPr>
              <w:spacing w:before="0" w:after="40"/>
            </w:pPr>
            <w:r>
              <w:rPr>
                <w:rFonts w:ascii="Cambria" w:hAnsi="Cambria" w:eastAsia="Cambria" w:cs="Cambria"/>
                <w:b w:val="0"/>
                <w:i w:val="0"/>
                <w:color w:val="2E3338"/>
                <w:sz w:val="30"/>
              </w:rPr>
              <w:t xml:space="preserve">55% / 45%</w:t>
            </w:r>
          </w:p>
          <w:p>
            <w:pPr>
              <w:spacing w:before="0" w:after="0"/>
            </w:pPr>
            <w:r>
              <w:rPr>
                <w:rFonts w:ascii="Calibri" w:hAnsi="Calibri" w:eastAsia="Calibri" w:cs="Calibri"/>
                <w:b/>
                <w:i w:val="0"/>
                <w:caps/>
                <w:color w:val="5F6B77"/>
                <w:sz w:val="13"/>
                <w:spacing w:val="10"/>
              </w:rPr>
              <w:t>Claimant / defendant</w:t>
            </w:r>
          </w:p>
        </w:tc>
        <w:tc>
          <w:tcPr>
            <w:tcW w:type="dxa" w:w="3289"/>
            <w:shd w:val="clear" w:color="auto" w:fill="F1F2F3"/>
            <w:vAlign w:val="top"/>
            <w:tcBorders>
              <w:top w:val="single" w:sz="18" w:space="0" w:color="5F6B77"/>
              <w:left w:val="single" w:sz="12" w:space="0" w:color="FFFFFF"/>
              <w:right w:val="single" w:sz="12" w:space="0" w:color="FFFFFF"/>
            </w:tcBorders>
            <w:tcMar>
              <w:top w:w="110" w:type="dxa"/>
              <w:left w:w="160" w:type="dxa"/>
              <w:bottom w:w="120" w:type="dxa"/>
              <w:right w:w="120" w:type="dxa"/>
            </w:tcMar>
          </w:tcPr>
          <w:p>
            <w:pPr>
              <w:spacing w:before="0" w:after="40"/>
            </w:pPr>
            <w:r>
              <w:rPr>
                <w:rFonts w:ascii="Cambria" w:hAnsi="Cambria" w:eastAsia="Cambria" w:cs="Cambria"/>
                <w:b w:val="0"/>
                <w:i w:val="0"/>
                <w:color w:val="2E3338"/>
                <w:sz w:val="30"/>
              </w:rPr>
              <w:t xml:space="preserve">9</w:t>
            </w:r>
          </w:p>
          <w:p>
            <w:pPr>
              <w:spacing w:before="0" w:after="0"/>
            </w:pPr>
            <w:r>
              <w:rPr>
                <w:rFonts w:ascii="Calibri" w:hAnsi="Calibri" w:eastAsia="Calibri" w:cs="Calibri"/>
                <w:b/>
                <w:i w:val="0"/>
                <w:caps/>
                <w:color w:val="5F6B77"/>
                <w:sz w:val="13"/>
                <w:spacing w:val="10"/>
              </w:rPr>
              <w:t>Court and tribunal appearances</w:t>
            </w:r>
          </w:p>
        </w:tc>
      </w:tr>
    </w:tbl>
    <w:p>
      <w:pPr>
        <w:spacing w:before="120" w:after="20"/>
      </w:pPr>
      <w:r>
        <w:rPr>
          <w:rFonts w:ascii="Calibri" w:hAnsi="Calibri" w:eastAsia="Calibri" w:cs="Calibri"/>
          <w:b/>
          <w:i w:val="0"/>
          <w:caps/>
          <w:color w:val="5F6B77"/>
          <w:sz w:val="14"/>
          <w:spacing w:val="30"/>
        </w:rPr>
        <w:t>Courts and tribunals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Technology and Construction Court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ICC and LCIA arbitration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Adjudication</w:t>
      </w:r>
    </w:p>
    <w:p>
      <w:pPr>
        <w:spacing w:before="120" w:after="20"/>
      </w:pPr>
      <w:r>
        <w:rPr>
          <w:rFonts w:ascii="Calibri" w:hAnsi="Calibri" w:eastAsia="Calibri" w:cs="Calibri"/>
          <w:b/>
          <w:i w:val="0"/>
          <w:caps/>
          <w:color w:val="5F6B77"/>
          <w:sz w:val="14"/>
          <w:spacing w:val="30"/>
        </w:rPr>
        <w:t>Types of instruction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Façade fire spread</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Compartmentation and fire stopping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Means of escape and evacuation</w:t>
      </w:r>
    </w:p>
    <w:p>
      <w:pPr>
        <w:keepNext/>
        <w:spacing w:before="240" w:after="100"/>
        <w:pBdr>
          <w:bottom w:val="single" w:sz="6" w:space="4" w:color="DFE0E1"/>
        </w:pBdr>
      </w:pPr>
      <w:r>
        <w:rPr>
          <w:rFonts w:ascii="Cambria" w:hAnsi="Cambria" w:eastAsia="Cambria" w:cs="Cambria"/>
          <w:b w:val="0"/>
          <w:i w:val="0"/>
          <w:color w:val="2E3338"/>
          <w:sz w:val="24"/>
        </w:rPr>
        <w:t>Relevant professional experience</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8052"/>
      </w:tblGrid>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2016 – Present</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Director, Fire Engineering</w:t>
            </w:r>
            <w:r>
              <w:rPr>
                <w:rFonts w:ascii="Calibri" w:hAnsi="Calibri" w:eastAsia="Calibri" w:cs="Calibri"/>
                <w:b w:val="0"/>
                <w:i w:val="0"/>
                <w:sz w:val="19"/>
              </w:rPr>
              <w:t xml:space="preserve">   ·   Calder Fire Consulting Ltd</w:t>
            </w:r>
          </w:p>
          <w:p>
            <w:pPr>
              <w:spacing w:before="20" w:after="0"/>
              <w:jc w:val="both"/>
            </w:pPr>
            <w:r>
              <w:rPr>
                <w:rFonts w:ascii="Calibri" w:hAnsi="Calibri" w:eastAsia="Calibri" w:cs="Calibri"/>
                <w:b w:val="0"/>
                <w:i w:val="0"/>
                <w:color w:val="6B6D70"/>
                <w:sz w:val="17"/>
              </w:rPr>
              <w:t xml:space="preserve">Leads fire strategy and forensic fire engineering for residential and transport projects.</w:t>
            </w:r>
          </w:p>
        </w:tc>
      </w:tr>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2009 – 2016</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Associate, Fire Engineering</w:t>
            </w:r>
            <w:r>
              <w:rPr>
                <w:rFonts w:ascii="Calibri" w:hAnsi="Calibri" w:eastAsia="Calibri" w:cs="Calibri"/>
                <w:b w:val="0"/>
                <w:i w:val="0"/>
                <w:sz w:val="19"/>
              </w:rPr>
              <w:t xml:space="preserve">   ·   Westmark Infrastructure</w:t>
            </w:r>
          </w:p>
          <w:p>
            <w:pPr>
              <w:spacing w:before="20" w:after="0"/>
              <w:jc w:val="both"/>
            </w:pPr>
            <w:r>
              <w:rPr>
                <w:rFonts w:ascii="Calibri" w:hAnsi="Calibri" w:eastAsia="Calibri" w:cs="Calibri"/>
                <w:b w:val="0"/>
                <w:i w:val="0"/>
                <w:color w:val="6B6D70"/>
                <w:sz w:val="17"/>
              </w:rPr>
              <w:t xml:space="preserve">Fire strategies for hospitals, stations and high-rise residential buildings.</w:t>
            </w:r>
          </w:p>
        </w:tc>
      </w:tr>
    </w:tbl>
    <w:p>
      <w:pPr>
        <w:keepNext/>
        <w:spacing w:before="240" w:after="100"/>
        <w:pBdr>
          <w:bottom w:val="single" w:sz="6" w:space="4" w:color="DFE0E1"/>
        </w:pBdr>
      </w:pPr>
      <w:r>
        <w:rPr>
          <w:rFonts w:ascii="Cambria" w:hAnsi="Cambria" w:eastAsia="Cambria" w:cs="Cambria"/>
          <w:b w:val="0"/>
          <w:i w:val="0"/>
          <w:color w:val="2E3338"/>
          <w:sz w:val="24"/>
        </w:rPr>
        <w:t>Publications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Whitcombe, H. (2022). Cavity barriers in rainscreen façades: test evidence and practice. Fire Safety Journal.</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Whitcombe, H. &amp; Kerr, A. (2019). Evacuation modelling for tall residential buildings. Conference paper.</w:t>
      </w:r>
    </w:p>
    <w:p>
      <w:pPr>
        <w:keepNext/>
        <w:spacing w:before="240" w:after="100"/>
        <w:pBdr>
          <w:bottom w:val="single" w:sz="6" w:space="4" w:color="DFE0E1"/>
        </w:pBdr>
      </w:pPr>
      <w:r>
        <w:rPr>
          <w:rFonts w:ascii="Cambria" w:hAnsi="Cambria" w:eastAsia="Cambria" w:cs="Cambria"/>
          <w:b w:val="0"/>
          <w:i w:val="0"/>
          <w:color w:val="2E3338"/>
          <w:sz w:val="24"/>
        </w:rPr>
        <w:t>Expert witness training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Expert witness certificate, civil procedure and report writing (2017)</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Courtroom skills training (2021)</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jc w:val="left"/>
        <w:tblInd w:w="2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shd w:val="clear" w:color="auto" w:fill="F2F3F3"/>
            <w:tcMar>
              <w:top w:w="150" w:type="dxa"/>
              <w:left w:w="260" w:type="dxa"/>
              <w:bottom w:w="170" w:type="dxa"/>
              <w:right w:w="260" w:type="dxa"/>
            </w:tcMar>
            <w:tcBorders>
              <w:left w:val="single" w:sz="30" w:space="0" w:color="5F6B77"/>
            </w:tcBorders>
          </w:tcPr>
          <w:p>
            <w:pPr>
              <w:keepNext/>
              <w:spacing w:before="0" w:after="80"/>
            </w:pPr>
            <w:r>
              <w:rPr>
                <w:rFonts w:ascii="Calibri" w:hAnsi="Calibri" w:eastAsia="Calibri" w:cs="Calibri"/>
                <w:b/>
                <w:i w:val="0"/>
                <w:caps/>
                <w:color w:val="5F6B77"/>
                <w:sz w:val="15"/>
                <w:spacing w:val="30"/>
              </w:rPr>
              <w:t>Declaration</w:t>
            </w:r>
          </w:p>
          <w:p>
            <w:pPr>
              <w:keepNext/>
              <w:spacing w:before="0" w:after="0"/>
            </w:pPr>
            <w:r>
              <w:rPr>
                <w:rFonts w:ascii="Calibri" w:hAnsi="Calibri" w:eastAsia="Calibri" w:cs="Calibri"/>
                <w:b w:val="0"/>
                <w:i/>
                <w:color w:val="6B6D70"/>
                <w:sz w:val="18"/>
              </w:rPr>
              <w:t>[Declaration and statement of truth: insert the wording required by the court or tribunal, or by the instructing party, in the expert report this CV accompanies.]</w:t>
            </w:r>
          </w:p>
          <w:p>
            <w:pPr>
              <w:keepNext/>
              <w:tabs>
                <w:tab w:pos="9299" w:val="right"/>
              </w:tabs>
              <w:spacing w:before="360" w:after="0"/>
            </w:pPr>
            <w:r>
              <w:rPr>
                <w:rFonts w:ascii="Calibri" w:hAnsi="Calibri" w:eastAsia="Calibri" w:cs="Calibri"/>
                <w:b w:val="0"/>
                <w:i w:val="0"/>
                <w:color w:val="2E3338"/>
                <w:sz w:val="18"/>
              </w:rPr>
              <w:t>Signed  ______________________________</w:t>
            </w:r>
            <w:r>
              <w:rPr>
                <w:rFonts w:ascii="Calibri" w:hAnsi="Calibri" w:eastAsia="Calibri" w:cs="Calibri"/>
                <w:b w:val="0"/>
                <w:i w:val="0"/>
                <w:color w:val="2E3338"/>
                <w:sz w:val="18"/>
              </w:rPr>
              <w:tab/>
              <w:t>Date  ________________</w:t>
            </w:r>
          </w:p>
          <w:p>
            <w:pPr>
              <w:spacing w:before="60" w:after="0"/>
            </w:pPr>
            <w:r>
              <w:rPr>
                <w:rFonts w:ascii="Calibri" w:hAnsi="Calibri" w:eastAsia="Calibri" w:cs="Calibri"/>
                <w:b/>
                <w:i w:val="0"/>
                <w:color w:val="5F6B77"/>
                <w:sz w:val="17"/>
              </w:rPr>
              <w:t xml:space="preserve">Dr Hannah Whitcombe</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Expert witness  ·  Curriculum vitae</w:t>
      </w:r>
    </w:p>
    <w:p>
      <w:pPr>
        <w:spacing w:before="0" w:after="40"/>
      </w:pPr>
      <w:r>
        <w:rPr>
          <w:rFonts w:ascii="Cambria" w:hAnsi="Cambria" w:eastAsia="Cambria" w:cs="Cambria"/>
          <w:b w:val="0"/>
          <w:i w:val="0"/>
          <w:color w:val="2E3338"/>
          <w:sz w:val="48"/>
        </w:rPr>
        <w:t xml:space="preserve">Marcus Oyelaran</w:t>
      </w:r>
    </w:p>
    <w:p>
      <w:pPr>
        <w:spacing w:before="0" w:after="40"/>
      </w:pPr>
      <w:r>
        <w:rPr>
          <w:rFonts w:ascii="Calibri" w:hAnsi="Calibri" w:eastAsia="Calibri" w:cs="Calibri"/>
          <w:b/>
          <w:i w:val="0"/>
          <w:color w:val="5F6B77"/>
          <w:sz w:val="24"/>
        </w:rPr>
        <w:t xml:space="preserve">Structural engineering</w:t>
      </w:r>
    </w:p>
    <w:p>
      <w:pPr>
        <w:spacing w:before="0" w:after="40"/>
      </w:pPr>
      <w:r>
        <w:rPr>
          <w:rFonts w:ascii="Calibri" w:hAnsi="Calibri" w:eastAsia="Calibri" w:cs="Calibri"/>
          <w:b w:val="0"/>
          <w:i w:val="0"/>
          <w:color w:val="6B6D70"/>
          <w:sz w:val="20"/>
        </w:rPr>
        <w:t xml:space="preserve">Principal Structural Engineer  ·  Arcadia Engineering Partners</w:t>
      </w:r>
    </w:p>
    <w:p>
      <w:pPr>
        <w:spacing w:before="0" w:after="120"/>
        <w:pBdr>
          <w:bottom w:val="single" w:sz="6" w:space="4" w:color="DFE0E1"/>
        </w:pBdr>
      </w:pPr>
      <w:r>
        <w:rPr>
          <w:rFonts w:ascii="Calibri" w:hAnsi="Calibri" w:eastAsia="Calibri" w:cs="Calibri"/>
          <w:b w:val="0"/>
          <w:i w:val="0"/>
          <w:sz w:val="4"/>
        </w:rPr>
      </w:r>
    </w:p>
    <w:p>
      <w:pPr>
        <w:spacing w:before="80" w:after="0"/>
        <w:jc w:val="both"/>
      </w:pPr>
      <w:r>
        <w:rPr>
          <w:rFonts w:ascii="Calibri" w:hAnsi="Calibri" w:eastAsia="Calibri" w:cs="Calibri"/>
          <w:b w:val="0"/>
          <w:i w:val="0"/>
          <w:sz w:val="20"/>
        </w:rPr>
        <w:t xml:space="preserve">Marcus is a chartered structural engineer who advises on structural defects and failures.</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63"/>
        <w:gridCol w:w="340"/>
        <w:gridCol w:w="4763"/>
      </w:tblGrid>
      <w:tr>
        <w:tc>
          <w:tcPr>
            <w:tcW w:type="dxa" w:w="4763"/>
            <w:vAlign w:val="top"/>
          </w:tcPr>
          <w:p>
            <w:pPr>
              <w:spacing w:before="0" w:after="0" w:line="20" w:lineRule="exact"/>
            </w:pPr>
            <w:r>
              <w:rPr>
                <w:rFonts w:ascii="Calibri" w:hAnsi="Calibri" w:eastAsia="Calibri" w:cs="Calibri"/>
                <w:b w:val="0"/>
                <w:i w:val="0"/>
                <w:sz w:val="2"/>
              </w:rPr>
            </w:r>
          </w:p>
          <w:p>
            <w:pPr>
              <w:keepNext/>
              <w:spacing w:before="200" w:after="100"/>
              <w:pBdr>
                <w:bottom w:val="single" w:sz="6" w:space="4" w:color="DFE0E1"/>
              </w:pBdr>
            </w:pPr>
            <w:r>
              <w:rPr>
                <w:rFonts w:ascii="Cambria" w:hAnsi="Cambria" w:eastAsia="Cambria" w:cs="Cambria"/>
                <w:b w:val="0"/>
                <w:i w:val="0"/>
                <w:color w:val="2E3338"/>
                <w:sz w:val="24"/>
              </w:rPr>
              <w:t>Qualifications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MEng, Structural Engineering, University of Bristol (2007)</w:t>
            </w:r>
          </w:p>
          <w:p>
            <w:pPr>
              <w:spacing w:before="0" w:after="0" w:line="2" w:lineRule="exact"/>
            </w:pPr>
            <w:r>
              <w:rPr>
                <w:rFonts w:ascii="Calibri" w:hAnsi="Calibri" w:eastAsia="Calibri" w:cs="Calibri"/>
                <w:b w:val="0"/>
                <w:i w:val="0"/>
                <w:sz w:val="2"/>
              </w:rPr>
            </w:r>
          </w:p>
        </w:tc>
        <w:tc>
          <w:tcPr>
            <w:tcW w:type="dxa" w:w="340"/>
          </w:tcPr>
          <w:p/>
        </w:tc>
        <w:tc>
          <w:tcPr>
            <w:tcW w:type="dxa" w:w="4763"/>
            <w:vAlign w:val="top"/>
          </w:tcPr>
          <w:p>
            <w:pPr>
              <w:spacing w:before="0" w:after="0" w:line="20" w:lineRule="exact"/>
            </w:pPr>
            <w:r>
              <w:rPr>
                <w:rFonts w:ascii="Calibri" w:hAnsi="Calibri" w:eastAsia="Calibri" w:cs="Calibri"/>
                <w:b w:val="0"/>
                <w:i w:val="0"/>
                <w:sz w:val="2"/>
              </w:rPr>
            </w:r>
          </w:p>
          <w:p>
            <w:pPr>
              <w:keepNext/>
              <w:spacing w:before="200" w:after="100"/>
              <w:pBdr>
                <w:bottom w:val="single" w:sz="6" w:space="4" w:color="DFE0E1"/>
              </w:pBdr>
            </w:pPr>
            <w:r>
              <w:rPr>
                <w:rFonts w:ascii="Cambria" w:hAnsi="Cambria" w:eastAsia="Cambria" w:cs="Cambria"/>
                <w:b w:val="0"/>
                <w:i w:val="0"/>
                <w:color w:val="2E3338"/>
                <w:sz w:val="24"/>
              </w:rPr>
              <w:t>Professional 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Chartered Member, Institution of Structural Engineers (CEng MIStructE)</w:t>
            </w:r>
          </w:p>
          <w:p>
            <w:pPr>
              <w:spacing w:before="0" w:after="0" w:line="2" w:lineRule="exact"/>
            </w:pPr>
            <w:r>
              <w:rPr>
                <w:rFonts w:ascii="Calibri" w:hAnsi="Calibri" w:eastAsia="Calibri" w:cs="Calibri"/>
                <w:b w:val="0"/>
                <w:i w:val="0"/>
                <w:sz w:val="2"/>
              </w:rPr>
            </w:r>
          </w:p>
        </w:tc>
      </w:tr>
    </w:tbl>
    <w:p>
      <w:pPr>
        <w:keepNext/>
        <w:spacing w:before="240" w:after="100"/>
        <w:pBdr>
          <w:bottom w:val="single" w:sz="6" w:space="4" w:color="DFE0E1"/>
        </w:pBdr>
      </w:pPr>
      <w:r>
        <w:rPr>
          <w:rFonts w:ascii="Cambria" w:hAnsi="Cambria" w:eastAsia="Cambria" w:cs="Cambria"/>
          <w:b w:val="0"/>
          <w:i w:val="0"/>
          <w:color w:val="2E3338"/>
          <w:sz w:val="24"/>
        </w:rPr>
        <w:t>Expert witness experience</w:t>
      </w:r>
    </w:p>
    <w:p>
      <w:pPr>
        <w:spacing w:before="120" w:after="20"/>
      </w:pPr>
      <w:r>
        <w:rPr>
          <w:rFonts w:ascii="Calibri" w:hAnsi="Calibri" w:eastAsia="Calibri" w:cs="Calibri"/>
          <w:b/>
          <w:i w:val="0"/>
          <w:caps/>
          <w:color w:val="5F6B77"/>
          <w:sz w:val="14"/>
          <w:spacing w:val="30"/>
        </w:rPr>
        <w:t>Courts and tribunals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Adjudication</w:t>
      </w:r>
    </w:p>
    <w:p>
      <w:pPr>
        <w:spacing w:before="120" w:after="20"/>
      </w:pPr>
      <w:r>
        <w:rPr>
          <w:rFonts w:ascii="Calibri" w:hAnsi="Calibri" w:eastAsia="Calibri" w:cs="Calibri"/>
          <w:b/>
          <w:i w:val="0"/>
          <w:caps/>
          <w:color w:val="5F6B77"/>
          <w:sz w:val="14"/>
          <w:spacing w:val="30"/>
        </w:rPr>
        <w:t>Types of instruction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Concrete frame defects</w:t>
      </w:r>
    </w:p>
    <w:p>
      <w:pPr>
        <w:keepNext/>
        <w:spacing w:before="240" w:after="100"/>
        <w:pBdr>
          <w:bottom w:val="single" w:sz="6" w:space="4" w:color="DFE0E1"/>
        </w:pBdr>
      </w:pPr>
      <w:r>
        <w:rPr>
          <w:rFonts w:ascii="Cambria" w:hAnsi="Cambria" w:eastAsia="Cambria" w:cs="Cambria"/>
          <w:b w:val="0"/>
          <w:i w:val="0"/>
          <w:color w:val="2E3338"/>
          <w:sz w:val="24"/>
        </w:rPr>
        <w:t>Relevant professional experience</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8052"/>
      </w:tblGrid>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2022 – Present</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Principal Structural Engineer</w:t>
            </w:r>
            <w:r>
              <w:rPr>
                <w:rFonts w:ascii="Calibri" w:hAnsi="Calibri" w:eastAsia="Calibri" w:cs="Calibri"/>
                <w:b w:val="0"/>
                <w:i w:val="0"/>
                <w:sz w:val="19"/>
              </w:rPr>
              <w:t xml:space="preserve">   ·   Arcadia Engineering Partners</w:t>
            </w:r>
          </w:p>
        </w:tc>
      </w:tr>
    </w:tbl>
    <w:p>
      <w:pPr>
        <w:keepNext/>
        <w:spacing w:before="240" w:after="100"/>
        <w:pBdr>
          <w:bottom w:val="single" w:sz="6" w:space="4" w:color="DFE0E1"/>
        </w:pBdr>
      </w:pPr>
      <w:r>
        <w:rPr>
          <w:rFonts w:ascii="Cambria" w:hAnsi="Cambria" w:eastAsia="Cambria" w:cs="Cambria"/>
          <w:b w:val="0"/>
          <w:i w:val="0"/>
          <w:color w:val="2E3338"/>
          <w:sz w:val="24"/>
        </w:rPr>
        <w:t>Expert witness training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Expert witness report-writing course (2024)</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jc w:val="left"/>
        <w:tblInd w:w="2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shd w:val="clear" w:color="auto" w:fill="F2F3F3"/>
            <w:tcMar>
              <w:top w:w="150" w:type="dxa"/>
              <w:left w:w="260" w:type="dxa"/>
              <w:bottom w:w="170" w:type="dxa"/>
              <w:right w:w="260" w:type="dxa"/>
            </w:tcMar>
            <w:tcBorders>
              <w:left w:val="single" w:sz="30" w:space="0" w:color="5F6B77"/>
            </w:tcBorders>
          </w:tcPr>
          <w:p>
            <w:pPr>
              <w:keepNext/>
              <w:spacing w:before="0" w:after="80"/>
            </w:pPr>
            <w:r>
              <w:rPr>
                <w:rFonts w:ascii="Calibri" w:hAnsi="Calibri" w:eastAsia="Calibri" w:cs="Calibri"/>
                <w:b/>
                <w:i w:val="0"/>
                <w:caps/>
                <w:color w:val="5F6B77"/>
                <w:sz w:val="15"/>
                <w:spacing w:val="30"/>
              </w:rPr>
              <w:t>Declaration</w:t>
            </w:r>
          </w:p>
          <w:p>
            <w:pPr>
              <w:keepNext/>
              <w:spacing w:before="0" w:after="0"/>
            </w:pPr>
            <w:r>
              <w:rPr>
                <w:rFonts w:ascii="Calibri" w:hAnsi="Calibri" w:eastAsia="Calibri" w:cs="Calibri"/>
                <w:b w:val="0"/>
                <w:i/>
                <w:color w:val="6B6D70"/>
                <w:sz w:val="18"/>
              </w:rPr>
              <w:t>[Declaration and statement of truth: insert the wording required by the court or tribunal, or by the instructing party, in the expert report this CV accompanies.]</w:t>
            </w:r>
          </w:p>
          <w:p>
            <w:pPr>
              <w:keepNext/>
              <w:tabs>
                <w:tab w:pos="9299" w:val="right"/>
              </w:tabs>
              <w:spacing w:before="360" w:after="0"/>
            </w:pPr>
            <w:r>
              <w:rPr>
                <w:rFonts w:ascii="Calibri" w:hAnsi="Calibri" w:eastAsia="Calibri" w:cs="Calibri"/>
                <w:b w:val="0"/>
                <w:i w:val="0"/>
                <w:color w:val="2E3338"/>
                <w:sz w:val="18"/>
              </w:rPr>
              <w:t>Signed  ______________________________</w:t>
            </w:r>
            <w:r>
              <w:rPr>
                <w:rFonts w:ascii="Calibri" w:hAnsi="Calibri" w:eastAsia="Calibri" w:cs="Calibri"/>
                <w:b w:val="0"/>
                <w:i w:val="0"/>
                <w:color w:val="2E3338"/>
                <w:sz w:val="18"/>
              </w:rPr>
              <w:tab/>
              <w:t>Date  ________________</w:t>
            </w:r>
          </w:p>
          <w:p>
            <w:pPr>
              <w:spacing w:before="60" w:after="0"/>
            </w:pPr>
            <w:r>
              <w:rPr>
                <w:rFonts w:ascii="Calibri" w:hAnsi="Calibri" w:eastAsia="Calibri" w:cs="Calibri"/>
                <w:b/>
                <w:i w:val="0"/>
                <w:color w:val="5F6B77"/>
                <w:sz w:val="17"/>
              </w:rPr>
              <w:t xml:space="preserve">Marcus Oyelaran</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20" w:bottom="850"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Curriculum vitae of the expert. Details of qualifications are given for the court or tribunal; the expert’s declaration appears in the report.</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Expert witness CV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Witness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