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3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2"/>
        <w:gridCol w:w="2494"/>
      </w:tblGrid>
      <w:tr>
        <w:tc>
          <w:tcPr>
            <w:tcW w:type="dxa" w:w="7372"/>
            <w:shd w:val="clear" w:color="auto" w:fill="F1F2F3"/>
            <w:vAlign w:val="center"/>
            <w:tcBorders>
              <w:left w:val="single" w:sz="36" w:space="0" w:color="5F6B77"/>
            </w:tcBorders>
            <w:tcMar>
              <w:top w:w="220" w:type="dxa"/>
              <w:left w:w="300" w:type="dxa"/>
              <w:bottom w:w="220" w:type="dxa"/>
              <w:right w:w="2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Expert profile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 ·   European cold-chain logistics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1"/>
              </w:rPr>
              <w:t xml:space="preserve">Expert R-2817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0"/>
              </w:rPr>
              <w:t xml:space="preserve">Former VP Operations, European cold-chain logistics provider</w:t>
            </w:r>
          </w:p>
          <w:p>
            <w:pPr>
              <w:spacing w:before="10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0"/>
              </w:rPr>
              <w:t xml:space="preserve">Ran a 40-site temperature-controlled network; can speak to pricing, automation and customer churn</w:t>
            </w:r>
          </w:p>
        </w:tc>
        <w:tc>
          <w:tcPr>
            <w:tcW w:type="dxa" w:w="2494"/>
            <w:shd w:val="clear" w:color="auto" w:fill="F1F2F3"/>
            <w:vAlign w:val="center"/>
            <w:tcMar>
              <w:top w:w="220" w:type="dxa"/>
              <w:left w:w="100" w:type="dxa"/>
              <w:bottom w:w="220" w:type="dxa"/>
              <w:right w:w="260" w:type="dxa"/>
            </w:tcMar>
          </w:tcPr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Expert ID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R-2817</w:t>
            </w:r>
          </w:p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Experience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21 years</w:t>
            </w:r>
          </w:p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Based in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Rotterdam, Netherlands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Current and former roles</w:t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995"/>
      </w:tblGrid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60" w:type="dxa"/>
              <w:left w:w="0" w:type="dxa"/>
              <w:bottom w:w="6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2017 – 2025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VP Operations, Europe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  ·   A pan-European cold-chain provider (name on request)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60" w:type="dxa"/>
              <w:left w:w="0" w:type="dxa"/>
              <w:bottom w:w="6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2011 – 2017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Director, Network Planning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  ·   A listed food distributor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60" w:type="dxa"/>
              <w:left w:w="0" w:type="dxa"/>
              <w:bottom w:w="6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2004 – 2011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Operations Manager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  ·   A third-party logistics provider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Expertise</w:t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Companies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Cold‑chain 3PLs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Food retailers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Pharma distributors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Sectors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Temperature‑controlled logistics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Food distribution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Pharma logistics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Geographies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Benelux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Germany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Nordics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Poland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The expert can speak to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Pricing and contract structures between cold-chain providers and retailers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Warehouse automation economics and payback periods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Energy costs and the impact on site profitability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Customer switching behaviour and tender cycles</w:t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Relevant experience</w:t>
      </w:r>
    </w:p>
    <w:p>
      <w:pPr>
        <w:spacing w:before="0" w:after="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Led operations for a 40-site network with 3,100 staff and about €650m revenue; built the automation business case for six sites and ran the annual retailer tender process.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2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50" w:type="dxa"/>
              <w:left w:w="260" w:type="dxa"/>
              <w:bottom w:w="170" w:type="dxa"/>
              <w:right w:w="260" w:type="dxa"/>
            </w:tcMar>
            <w:tcBorders>
              <w:left w:val="single" w:sz="30" w:space="0" w:color="5F6B77"/>
            </w:tcBorders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Compliance notes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Former-employer cooling-off: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Restrictions: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Other notes: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3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2"/>
        <w:gridCol w:w="2494"/>
      </w:tblGrid>
      <w:tr>
        <w:tc>
          <w:tcPr>
            <w:tcW w:type="dxa" w:w="7372"/>
            <w:shd w:val="clear" w:color="auto" w:fill="F1F2F3"/>
            <w:vAlign w:val="center"/>
            <w:tcBorders>
              <w:left w:val="single" w:sz="36" w:space="0" w:color="5F6B77"/>
            </w:tcBorders>
            <w:tcMar>
              <w:top w:w="220" w:type="dxa"/>
              <w:left w:w="300" w:type="dxa"/>
              <w:bottom w:w="220" w:type="dxa"/>
              <w:right w:w="2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Expert profile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 ·   European cold-chain logistics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1"/>
              </w:rPr>
              <w:t xml:space="preserve">Daniel Okafor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0"/>
              </w:rPr>
              <w:t xml:space="preserve">Independent adviser; former CFO, freight rail operator</w:t>
            </w:r>
          </w:p>
          <w:p>
            <w:pPr>
              <w:spacing w:before="10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0"/>
              </w:rPr>
              <w:t xml:space="preserve">Finance view of freight and logistics capital projects and refinancing</w:t>
            </w:r>
          </w:p>
        </w:tc>
        <w:tc>
          <w:tcPr>
            <w:tcW w:type="dxa" w:w="2494"/>
            <w:shd w:val="clear" w:color="auto" w:fill="F1F2F3"/>
            <w:vAlign w:val="center"/>
            <w:tcMar>
              <w:top w:w="220" w:type="dxa"/>
              <w:left w:w="100" w:type="dxa"/>
              <w:bottom w:w="220" w:type="dxa"/>
              <w:right w:w="260" w:type="dxa"/>
            </w:tcMar>
          </w:tcPr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Expert ID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R-3104</w:t>
            </w:r>
          </w:p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Experience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26 years</w:t>
            </w:r>
          </w:p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Based in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Birmingham, UK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Current and former roles</w:t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995"/>
      </w:tblGrid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60" w:type="dxa"/>
              <w:left w:w="0" w:type="dxa"/>
              <w:bottom w:w="6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2023 – Present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Independent Adviser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  ·   Self-employed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60" w:type="dxa"/>
              <w:left w:w="0" w:type="dxa"/>
              <w:bottom w:w="6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2015 – 2023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Chief Financial Officer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  ·   Stratton Rail Freight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Expertise</w:t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Companies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Freight rail operators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Logistics groups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Sectors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Freight &amp; logistics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Infrastructure finance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Geographies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UK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Ireland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The expert can speak to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Capital allocation for rolling stock and terminals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Refinancing and lender covenants</w:t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Relevant experience</w:t>
      </w:r>
    </w:p>
    <w:p>
      <w:pPr>
        <w:spacing w:before="0" w:after="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CFO of a £410m freight operator through a refinancing and a network modernisation.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2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50" w:type="dxa"/>
              <w:left w:w="260" w:type="dxa"/>
              <w:bottom w:w="170" w:type="dxa"/>
              <w:right w:w="260" w:type="dxa"/>
            </w:tcMar>
            <w:tcBorders>
              <w:left w:val="single" w:sz="30" w:space="0" w:color="5F6B77"/>
            </w:tcBorders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Compliance notes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Former-employer cooling-off: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Restrictions: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Will not discuss Stratton Rail Freight’s current trading (per the expert).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Other notes: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3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2"/>
        <w:gridCol w:w="2494"/>
      </w:tblGrid>
      <w:tr>
        <w:tc>
          <w:tcPr>
            <w:tcW w:type="dxa" w:w="7372"/>
            <w:shd w:val="clear" w:color="auto" w:fill="F1F2F3"/>
            <w:vAlign w:val="center"/>
            <w:tcBorders>
              <w:left w:val="single" w:sz="36" w:space="0" w:color="5F6B77"/>
            </w:tcBorders>
            <w:tcMar>
              <w:top w:w="220" w:type="dxa"/>
              <w:left w:w="300" w:type="dxa"/>
              <w:bottom w:w="220" w:type="dxa"/>
              <w:right w:w="2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Expert profile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 ·   European cold-chain logistics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1"/>
              </w:rPr>
              <w:t xml:space="preserve">Expert R-2990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0"/>
              </w:rPr>
              <w:t xml:space="preserve">Sustainability Director, food manufacturer</w:t>
            </w:r>
          </w:p>
          <w:p>
            <w:pPr>
              <w:spacing w:before="10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0"/>
              </w:rPr>
              <w:t xml:space="preserve">Scope 3 emissions in food supply chains and refrigerant regulation</w:t>
            </w:r>
          </w:p>
        </w:tc>
        <w:tc>
          <w:tcPr>
            <w:tcW w:type="dxa" w:w="2494"/>
            <w:shd w:val="clear" w:color="auto" w:fill="F1F2F3"/>
            <w:vAlign w:val="center"/>
            <w:tcMar>
              <w:top w:w="220" w:type="dxa"/>
              <w:left w:w="100" w:type="dxa"/>
              <w:bottom w:w="220" w:type="dxa"/>
              <w:right w:w="260" w:type="dxa"/>
            </w:tcMar>
          </w:tcPr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Expert ID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R-2990</w:t>
            </w:r>
          </w:p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Experience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18 years</w:t>
            </w:r>
          </w:p>
          <w:p>
            <w:pPr>
              <w:spacing w:before="0" w:after="80"/>
              <w:jc w:val="right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0"/>
              </w:rPr>
              <w:t>Based in</w:t>
              <w:br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Leeds, UK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Current and former roles</w:t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995"/>
      </w:tblGrid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60" w:type="dxa"/>
              <w:left w:w="0" w:type="dxa"/>
              <w:bottom w:w="60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2020 – Present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Sustainability Director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  ·   A UK food manufacturer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Expertise</w:t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Companies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Food manufacturers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Sectors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Food &amp; beverage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Sustainability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spacing w:before="60" w:after="0"/>
      </w:pPr>
      <w:r>
        <w:rPr>
          <w:rFonts w:ascii="Calibri" w:hAnsi="Calibri" w:eastAsia="Calibri" w:cs="Calibri"/>
          <w:b/>
          <w:i w:val="0"/>
          <w:caps/>
          <w:color w:val="5F6B77"/>
          <w:sz w:val="14"/>
          <w:spacing w:val="30"/>
        </w:rPr>
        <w:t>Geographies</w:t>
      </w:r>
    </w:p>
    <w:p>
      <w:pPr>
        <w:spacing w:before="0" w:after="2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UK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EU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The expert can speak to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Refrigerant phase-down and its cost for logistics fleets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Supplier emissions reporting</w:t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2"/>
        </w:rPr>
        <w:t>Relevant experience</w:t>
      </w:r>
    </w:p>
    <w:p>
      <w:pPr>
        <w:spacing w:before="0" w:after="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Leads the net-zero programme for a manufacturer with 14 sites.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2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50" w:type="dxa"/>
              <w:left w:w="260" w:type="dxa"/>
              <w:bottom w:w="170" w:type="dxa"/>
              <w:right w:w="260" w:type="dxa"/>
            </w:tcMar>
            <w:tcBorders>
              <w:left w:val="single" w:sz="30" w:space="0" w:color="5F6B77"/>
            </w:tcBorders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Compliance notes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Former-employer cooling-off: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Restrictions: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  <w:p>
            <w:pPr>
              <w:keepNext/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Other notes:  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To be confirmed with the expert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Experts do not share confidential information of current or former employers or clients. Compliance details are confirmed with the expert before every call.</w:t>
    </w:r>
  </w:p>
  <w:p>
    <w:pPr>
      <w:tabs>
        <w:tab w:pos="9866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Expert profile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 Network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