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324"/>
        <w:gridCol w:w="7542"/>
      </w:tblGrid>
      <w:tr>
        <w:tc>
          <w:tcPr>
            <w:tcW w:type="dxa" w:w="2324"/>
            <w:vAlign w:val="center"/>
            <w:tcMar>
              <w:top w:w="0" w:type="dxa"/>
              <w:left w:w="0" w:type="dxa"/>
              <w:bottom w:w="0" w:type="dxa"/>
              <w:right w:w="200" w:type="dxa"/>
            </w:tcMar>
          </w:tcPr>
          <w:p>
            <w:pPr>
              <w:spacing w:before="0" w:after="0" w:line="240" w:lineRule="auto"/>
              <w:jc w:val="left"/>
              <w:rPr>
                <w:sz w:val="2"/>
              </w:rPr>
            </w:pPr>
            <w:r>
              <w:drawing>
                <wp:inline distT="0" distB="0" distL="0" distR="0">
                  <wp:extent cx="1296000" cy="1080000"/>
                  <wp:effectExtent l="0" t="0" r="0" b="0"/>
                  <wp:docPr id="1001" name="Candidate photo frame 7701"/>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2" name="Picture 7702"/>
                                    <wp:cNvGraphicFramePr>
                                      <a:graphicFrameLocks noChangeAspect="1"/>
                                    </wp:cNvGraphicFramePr>
                                    <a:graphic>
                                      <a:graphicData uri="http://schemas.openxmlformats.org/drawingml/2006/picture">
                                        <pic:pic>
                                          <pic:nvPicPr>
                                            <pic:cNvPr id="0" name="eleanor-marsh.jpg"/>
                                            <pic:cNvPicPr/>
                                          </pic:nvPicPr>
                                          <pic:blipFill>
                                            <a:blip r:embed="rId11"/>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c>
          <w:tcPr>
            <w:tcW w:type="dxa" w:w="7542"/>
            <w:vAlign w:val="center"/>
            <w:tcMar>
              <w:top w:w="0" w:type="dxa"/>
              <w:left w:w="200" w:type="dxa"/>
              <w:bottom w:w="0" w:type="dxa"/>
              <w:right w:w="0" w:type="dxa"/>
            </w:tcMar>
          </w:tcPr>
          <w:p>
            <w:pPr>
              <w:spacing w:before="0" w:after="40"/>
            </w:pPr>
            <w:r>
              <w:rPr>
                <w:rFonts w:ascii="Calibri" w:hAnsi="Calibri" w:eastAsia="Calibri" w:cs="Calibri"/>
                <w:b/>
                <w:i w:val="0"/>
                <w:caps/>
                <w:color w:val="5F6B77"/>
                <w:sz w:val="15"/>
                <w:spacing w:val="30"/>
              </w:rPr>
              <w:t xml:space="preserve">London, UK</w:t>
            </w:r>
          </w:p>
          <w:p>
            <w:pPr>
              <w:spacing w:before="0" w:after="40"/>
            </w:pPr>
            <w:r>
              <w:rPr>
                <w:rFonts w:ascii="Cambria" w:hAnsi="Cambria" w:eastAsia="Cambria" w:cs="Cambria"/>
                <w:b w:val="0"/>
                <w:i w:val="0"/>
                <w:color w:val="2E3338"/>
                <w:sz w:val="44"/>
              </w:rPr>
              <w:t xml:space="preserve">Eleanor Marsh</w:t>
            </w:r>
            <w:r>
              <w:rPr>
                <w:rFonts w:ascii="Cambria" w:hAnsi="Cambria" w:eastAsia="Cambria" w:cs="Cambria"/>
                <w:b w:val="0"/>
                <w:i w:val="0"/>
                <w:color w:val="6B6D70"/>
                <w:sz w:val="20"/>
              </w:rPr>
              <w:t xml:space="preserve">  FCA</w:t>
            </w:r>
          </w:p>
          <w:p>
            <w:pPr>
              <w:spacing w:before="0" w:after="80"/>
            </w:pPr>
            <w:r>
              <w:rPr>
                <w:rFonts w:ascii="Calibri" w:hAnsi="Calibri" w:eastAsia="Calibri" w:cs="Calibri"/>
                <w:b/>
                <w:i w:val="0"/>
                <w:color w:val="5F6B77"/>
                <w:sz w:val="22"/>
              </w:rPr>
              <w:t xml:space="preserve">Chief Financial Officer</w:t>
            </w:r>
            <w:r>
              <w:rPr>
                <w:rFonts w:ascii="Calibri" w:hAnsi="Calibri" w:eastAsia="Calibri" w:cs="Calibri"/>
                <w:b w:val="0"/>
                <w:i w:val="0"/>
                <w:color w:val="6B6D70"/>
                <w:sz w:val="20"/>
              </w:rPr>
              <w:t xml:space="preserve">   ·   Calder &amp; Finch Group plc</w:t>
            </w:r>
          </w:p>
          <w:p>
            <w:pPr>
              <w:spacing w:before="0" w:after="0"/>
              <w:pBdr>
                <w:top w:val="single" w:sz="6" w:space="4" w:color="DFE0E1"/>
              </w:pBdr>
            </w:pPr>
            <w:r>
              <w:rPr>
                <w:rFonts w:ascii="Calibri" w:hAnsi="Calibri" w:eastAsia="Calibri" w:cs="Calibri"/>
                <w:b w:val="0"/>
                <w:i w:val="0"/>
                <w:color w:val="2E3338"/>
                <w:sz w:val="19"/>
              </w:rPr>
              <w:t xml:space="preserve">Group finance   ·   Mergers &amp; Acquisitions   ·   Capital markets   ·   Transformation   ·   Investor relations</w:t>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351"/>
        <w:gridCol w:w="340"/>
        <w:gridCol w:w="3175"/>
      </w:tblGrid>
      <w:tr>
        <w:tc>
          <w:tcPr>
            <w:tcW w:type="dxa" w:w="6351"/>
            <w:vAlign w:val="top"/>
          </w:tcPr>
          <w:p>
            <w:pPr>
              <w:spacing w:before="0" w:after="0" w:line="20" w:lineRule="exact"/>
            </w:pPr>
            <w:r>
              <w:rPr>
                <w:rFonts w:ascii="Calibri" w:hAnsi="Calibri" w:eastAsia="Calibri" w:cs="Calibri"/>
                <w:b w:val="0"/>
                <w:i w:val="0"/>
                <w:sz w:val="2"/>
              </w:rPr>
            </w:r>
          </w:p>
          <w:p>
            <w:pPr>
              <w:keepNext/>
              <w:spacing w:before="0" w:after="100"/>
              <w:pBdr>
                <w:bottom w:val="single" w:sz="6" w:space="4" w:color="DFE0E1"/>
              </w:pBdr>
            </w:pPr>
            <w:r>
              <w:rPr>
                <w:rFonts w:ascii="Cambria" w:hAnsi="Cambria" w:eastAsia="Cambria" w:cs="Cambria"/>
                <w:b w:val="0"/>
                <w:i w:val="0"/>
                <w:color w:val="2E3338"/>
                <w:sz w:val="22"/>
              </w:rPr>
              <w:t>Biography</w:t>
            </w:r>
          </w:p>
          <w:p>
            <w:pPr>
              <w:spacing w:before="0" w:after="120"/>
              <w:jc w:val="both"/>
            </w:pPr>
            <w:r>
              <w:rPr>
                <w:rFonts w:ascii="Calibri" w:hAnsi="Calibri" w:eastAsia="Calibri" w:cs="Calibri"/>
                <w:b w:val="0"/>
                <w:i w:val="0"/>
                <w:sz w:val="19"/>
              </w:rPr>
              <w:t xml:space="preserve">Eleanor Marsh is Chief Financial Officer of Calder &amp; Finch Group plc, the £1.9bn building-products group listed on the London Stock Exchange. Since joining in 2020, Eleanor has led the group’s refinancing, a £240m disposal programme and the move to a single finance operating model across eleven countries.</w:t>
            </w:r>
          </w:p>
          <w:p>
            <w:pPr>
              <w:spacing w:before="0" w:after="120"/>
              <w:jc w:val="both"/>
            </w:pPr>
            <w:r>
              <w:rPr>
                <w:rFonts w:ascii="Calibri" w:hAnsi="Calibri" w:eastAsia="Calibri" w:cs="Calibri"/>
                <w:b w:val="0"/>
                <w:i w:val="0"/>
                <w:sz w:val="19"/>
              </w:rPr>
              <w:t xml:space="preserve">Eleanor began her career at Hartwell Thorne, qualifying as a chartered accountant before moving into industry with Brightwell &amp; Co, where she became Group Financial Controller. She was later Finance Director of the Northern Europe division of Stratton Industrial, responsible for a £620m business and a finance team of 140, and led its carve-out from the wider group.</w:t>
            </w:r>
          </w:p>
          <w:p>
            <w:pPr>
              <w:spacing w:before="0" w:after="120"/>
              <w:jc w:val="both"/>
            </w:pPr>
            <w:r>
              <w:rPr>
                <w:rFonts w:ascii="Calibri" w:hAnsi="Calibri" w:eastAsia="Calibri" w:cs="Calibri"/>
                <w:b w:val="0"/>
                <w:i w:val="0"/>
                <w:sz w:val="19"/>
              </w:rPr>
              <w:t xml:space="preserve">Eleanor is a non-executive director and chair of the audit committee at Penhallow Housing Trust and a trustee of the Fenmore Arts Foundation. She holds a BSc in Mathematics &amp; Economics from the University of Bristol and is a Fellow of the ICAEW.</w:t>
            </w:r>
          </w:p>
          <w:p>
            <w:pPr>
              <w:keepNext/>
              <w:spacing w:before="160" w:after="100"/>
              <w:pBdr>
                <w:bottom w:val="single" w:sz="6" w:space="4" w:color="DFE0E1"/>
              </w:pBdr>
            </w:pPr>
            <w:r>
              <w:rPr>
                <w:rFonts w:ascii="Cambria" w:hAnsi="Cambria" w:eastAsia="Cambria" w:cs="Cambria"/>
                <w:b w:val="0"/>
                <w:i w:val="0"/>
                <w:color w:val="2E3338"/>
                <w:sz w:val="22"/>
              </w:rPr>
              <w:t>Career highlights</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Led a £240m disposal programme that cut net debt from 2.4x to 1.1x EBITDA within two years</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Moved finance in eleven countries onto one operating model, reducing finance cost by 18%</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Completed the £310m carve-out of Stratton Industrial’s Northern Europe division in nine months</w:t>
            </w:r>
          </w:p>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6351"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351"/>
            </w:tblGrid>
            <w:tr>
              <w:trPr>
                <w:cantSplit/>
              </w:trPr>
              <w:tc>
                <w:tcPr>
                  <w:tcW w:type="dxa" w:w="6351"/>
                  <w:shd w:val="clear" w:color="auto" w:fill="F1F2F3"/>
                  <w:tcMar>
                    <w:top w:w="150" w:type="dxa"/>
                    <w:left w:w="220" w:type="dxa"/>
                    <w:bottom w:w="170" w:type="dxa"/>
                    <w:right w:w="220" w:type="dxa"/>
                  </w:tcMar>
                  <w:tcBorders>
                    <w:left w:val="single" w:sz="24" w:space="0" w:color="5F6B77"/>
                  </w:tcBorders>
                </w:tcPr>
                <w:p>
                  <w:pPr>
                    <w:spacing w:before="0" w:after="80"/>
                  </w:pPr>
                  <w:r>
                    <w:rPr>
                      <w:rFonts w:ascii="Calibri" w:hAnsi="Calibri" w:eastAsia="Calibri" w:cs="Calibri"/>
                      <w:b/>
                      <w:i w:val="0"/>
                      <w:caps/>
                      <w:color w:val="5F6B77"/>
                      <w:sz w:val="15"/>
                      <w:spacing w:val="30"/>
                    </w:rPr>
                    <w:t>Short bio</w:t>
                  </w:r>
                  <w:r>
                    <w:rPr>
                      <w:rFonts w:ascii="Calibri" w:hAnsi="Calibri" w:eastAsia="Calibri" w:cs="Calibri"/>
                      <w:b w:val="0"/>
                      <w:i w:val="0"/>
                      <w:color w:val="6B6D70"/>
                      <w:sz w:val="15"/>
                    </w:rPr>
                    <w:t xml:space="preserve">   for programmes, announcements and profiles</w:t>
                  </w:r>
                </w:p>
                <w:p>
                  <w:pPr>
                    <w:spacing w:before="0" w:after="0"/>
                    <w:jc w:val="both"/>
                  </w:pPr>
                  <w:r>
                    <w:rPr>
                      <w:rFonts w:ascii="Calibri" w:hAnsi="Calibri" w:eastAsia="Calibri" w:cs="Calibri"/>
                      <w:b w:val="0"/>
                      <w:i/>
                      <w:sz w:val="19"/>
                    </w:rPr>
                    <w:t xml:space="preserve">Eleanor Marsh is Chief Financial Officer of Calder &amp; Finch Group plc, the £1.9bn listed building-products group, where she has led its refinancing and a £240m disposal programme. She was previously a divisional Finance Director at Stratton Industrial and chairs the audit committee of Penhallow Housing Trust.</w:t>
                  </w:r>
                </w:p>
              </w:tc>
            </w:tr>
          </w:tbl>
          <w:p/>
          <w:p>
            <w:pPr>
              <w:spacing w:before="0" w:after="0" w:line="2" w:lineRule="exact"/>
            </w:pPr>
            <w:r>
              <w:rPr>
                <w:rFonts w:ascii="Calibri" w:hAnsi="Calibri" w:eastAsia="Calibri" w:cs="Calibri"/>
                <w:b w:val="0"/>
                <w:i w:val="0"/>
                <w:sz w:val="2"/>
              </w:rPr>
            </w:r>
          </w:p>
        </w:tc>
        <w:tc>
          <w:tcPr>
            <w:tcW w:type="dxa" w:w="340"/>
          </w:tcPr>
          <w:p/>
        </w:tc>
        <w:tc>
          <w:tcPr>
            <w:tcW w:type="dxa" w:w="3175"/>
            <w:vAlign w:val="top"/>
            <w:shd w:val="clear" w:color="auto" w:fill="F1F2F3"/>
            <w:tcMar>
              <w:top w:w="160" w:type="dxa"/>
              <w:left w:w="220" w:type="dxa"/>
              <w:bottom w:w="200" w:type="dxa"/>
              <w:right w:w="200" w:type="dxa"/>
            </w:tcMar>
          </w:tcPr>
          <w:p>
            <w:pPr>
              <w:spacing w:before="0" w:after="0" w:line="20" w:lineRule="exact"/>
            </w:pPr>
            <w:r>
              <w:rPr>
                <w:rFonts w:ascii="Calibri" w:hAnsi="Calibri" w:eastAsia="Calibri" w:cs="Calibri"/>
                <w:b w:val="0"/>
                <w:i w:val="0"/>
                <w:sz w:val="2"/>
              </w:rPr>
            </w:r>
          </w:p>
          <w:p>
            <w:pPr>
              <w:keepNext/>
              <w:spacing w:before="0" w:after="60"/>
            </w:pPr>
            <w:r>
              <w:rPr>
                <w:rFonts w:ascii="Calibri" w:hAnsi="Calibri" w:eastAsia="Calibri" w:cs="Calibri"/>
                <w:b/>
                <w:i w:val="0"/>
                <w:caps/>
                <w:color w:val="5F6B77"/>
                <w:sz w:val="14"/>
                <w:spacing w:val="30"/>
              </w:rPr>
              <w:t>Current roles</w:t>
            </w:r>
          </w:p>
          <w:p>
            <w:pPr>
              <w:keepNext/>
              <w:spacing w:before="60" w:after="0"/>
            </w:pPr>
            <w:r>
              <w:rPr>
                <w:rFonts w:ascii="Calibri" w:hAnsi="Calibri" w:eastAsia="Calibri" w:cs="Calibri"/>
                <w:b/>
                <w:i w:val="0"/>
                <w:color w:val="2E3338"/>
                <w:sz w:val="17"/>
              </w:rPr>
              <w:t xml:space="preserve">Chief Financial Officer</w:t>
            </w:r>
          </w:p>
          <w:p>
            <w:pPr>
              <w:spacing w:before="0" w:after="0"/>
            </w:pPr>
            <w:r>
              <w:rPr>
                <w:rFonts w:ascii="Calibri" w:hAnsi="Calibri" w:eastAsia="Calibri" w:cs="Calibri"/>
                <w:b w:val="0"/>
                <w:i w:val="0"/>
                <w:color w:val="6B6D70"/>
                <w:sz w:val="16"/>
              </w:rPr>
              <w:t xml:space="preserve">Calder &amp; Finch Group plc  ·  2020 – present</w:t>
            </w:r>
          </w:p>
          <w:p>
            <w:pPr>
              <w:keepNext/>
              <w:spacing w:before="200" w:after="60"/>
            </w:pPr>
            <w:r>
              <w:rPr>
                <w:rFonts w:ascii="Calibri" w:hAnsi="Calibri" w:eastAsia="Calibri" w:cs="Calibri"/>
                <w:b/>
                <w:i w:val="0"/>
                <w:caps/>
                <w:color w:val="5F6B77"/>
                <w:sz w:val="14"/>
                <w:spacing w:val="30"/>
              </w:rPr>
              <w:t>Board and non-executive roles</w:t>
            </w:r>
          </w:p>
          <w:p>
            <w:pPr>
              <w:keepNext/>
              <w:spacing w:before="60" w:after="0"/>
            </w:pPr>
            <w:r>
              <w:rPr>
                <w:rFonts w:ascii="Calibri" w:hAnsi="Calibri" w:eastAsia="Calibri" w:cs="Calibri"/>
                <w:b/>
                <w:i w:val="0"/>
                <w:color w:val="2E3338"/>
                <w:sz w:val="17"/>
              </w:rPr>
              <w:t xml:space="preserve">Non-executive Director, Audit Chair</w:t>
            </w:r>
          </w:p>
          <w:p>
            <w:pPr>
              <w:spacing w:before="0" w:after="0"/>
            </w:pPr>
            <w:r>
              <w:rPr>
                <w:rFonts w:ascii="Calibri" w:hAnsi="Calibri" w:eastAsia="Calibri" w:cs="Calibri"/>
                <w:b w:val="0"/>
                <w:i w:val="0"/>
                <w:color w:val="6B6D70"/>
                <w:sz w:val="16"/>
              </w:rPr>
              <w:t xml:space="preserve">Penhallow Housing Trust  ·  2022 – present</w:t>
            </w:r>
          </w:p>
          <w:p>
            <w:pPr>
              <w:keepNext/>
              <w:spacing w:before="60" w:after="0"/>
            </w:pPr>
            <w:r>
              <w:rPr>
                <w:rFonts w:ascii="Calibri" w:hAnsi="Calibri" w:eastAsia="Calibri" w:cs="Calibri"/>
                <w:b/>
                <w:i w:val="0"/>
                <w:color w:val="2E3338"/>
                <w:sz w:val="17"/>
              </w:rPr>
              <w:t xml:space="preserve">Trustee</w:t>
            </w:r>
          </w:p>
          <w:p>
            <w:pPr>
              <w:spacing w:before="0" w:after="0"/>
            </w:pPr>
            <w:r>
              <w:rPr>
                <w:rFonts w:ascii="Calibri" w:hAnsi="Calibri" w:eastAsia="Calibri" w:cs="Calibri"/>
                <w:b w:val="0"/>
                <w:i w:val="0"/>
                <w:color w:val="6B6D70"/>
                <w:sz w:val="16"/>
              </w:rPr>
              <w:t xml:space="preserve">Fenmore Arts Foundation  ·  2019 – present</w:t>
            </w:r>
          </w:p>
          <w:p>
            <w:pPr>
              <w:keepNext/>
              <w:spacing w:before="200" w:after="60"/>
            </w:pPr>
            <w:r>
              <w:rPr>
                <w:rFonts w:ascii="Calibri" w:hAnsi="Calibri" w:eastAsia="Calibri" w:cs="Calibri"/>
                <w:b/>
                <w:i w:val="0"/>
                <w:caps/>
                <w:color w:val="5F6B77"/>
                <w:sz w:val="14"/>
                <w:spacing w:val="30"/>
              </w:rPr>
              <w:t>Previous roles</w:t>
            </w:r>
          </w:p>
          <w:p>
            <w:pPr>
              <w:keepNext/>
              <w:spacing w:before="60" w:after="0"/>
            </w:pPr>
            <w:r>
              <w:rPr>
                <w:rFonts w:ascii="Calibri" w:hAnsi="Calibri" w:eastAsia="Calibri" w:cs="Calibri"/>
                <w:b/>
                <w:i w:val="0"/>
                <w:color w:val="2E3338"/>
                <w:sz w:val="17"/>
              </w:rPr>
              <w:t xml:space="preserve">Finance Director, Northern Europe</w:t>
            </w:r>
          </w:p>
          <w:p>
            <w:pPr>
              <w:spacing w:before="0" w:after="0"/>
            </w:pPr>
            <w:r>
              <w:rPr>
                <w:rFonts w:ascii="Calibri" w:hAnsi="Calibri" w:eastAsia="Calibri" w:cs="Calibri"/>
                <w:b w:val="0"/>
                <w:i w:val="0"/>
                <w:color w:val="6B6D70"/>
                <w:sz w:val="16"/>
              </w:rPr>
              <w:t xml:space="preserve">Stratton Industrial  ·  2015 – 2020</w:t>
            </w:r>
          </w:p>
          <w:p>
            <w:pPr>
              <w:keepNext/>
              <w:spacing w:before="60" w:after="0"/>
            </w:pPr>
            <w:r>
              <w:rPr>
                <w:rFonts w:ascii="Calibri" w:hAnsi="Calibri" w:eastAsia="Calibri" w:cs="Calibri"/>
                <w:b/>
                <w:i w:val="0"/>
                <w:color w:val="2E3338"/>
                <w:sz w:val="17"/>
              </w:rPr>
              <w:t xml:space="preserve">Group Financial Controller</w:t>
            </w:r>
          </w:p>
          <w:p>
            <w:pPr>
              <w:spacing w:before="0" w:after="0"/>
            </w:pPr>
            <w:r>
              <w:rPr>
                <w:rFonts w:ascii="Calibri" w:hAnsi="Calibri" w:eastAsia="Calibri" w:cs="Calibri"/>
                <w:b w:val="0"/>
                <w:i w:val="0"/>
                <w:color w:val="6B6D70"/>
                <w:sz w:val="16"/>
              </w:rPr>
              <w:t xml:space="preserve">Brightwell &amp; Co  ·  2010 – 2015</w:t>
            </w:r>
          </w:p>
          <w:p>
            <w:pPr>
              <w:keepNext/>
              <w:spacing w:before="60" w:after="0"/>
            </w:pPr>
            <w:r>
              <w:rPr>
                <w:rFonts w:ascii="Calibri" w:hAnsi="Calibri" w:eastAsia="Calibri" w:cs="Calibri"/>
                <w:b/>
                <w:i w:val="0"/>
                <w:color w:val="2E3338"/>
                <w:sz w:val="17"/>
              </w:rPr>
              <w:t xml:space="preserve">Audit Manager</w:t>
            </w:r>
          </w:p>
          <w:p>
            <w:pPr>
              <w:spacing w:before="0" w:after="0"/>
            </w:pPr>
            <w:r>
              <w:rPr>
                <w:rFonts w:ascii="Calibri" w:hAnsi="Calibri" w:eastAsia="Calibri" w:cs="Calibri"/>
                <w:b w:val="0"/>
                <w:i w:val="0"/>
                <w:color w:val="6B6D70"/>
                <w:sz w:val="16"/>
              </w:rPr>
              <w:t xml:space="preserve">Hartwell Thorne  ·  2004 – 2010</w:t>
            </w:r>
          </w:p>
          <w:p>
            <w:pPr>
              <w:keepNext/>
              <w:spacing w:before="200" w:after="60"/>
            </w:pPr>
            <w:r>
              <w:rPr>
                <w:rFonts w:ascii="Calibri" w:hAnsi="Calibri" w:eastAsia="Calibri" w:cs="Calibri"/>
                <w:b/>
                <w:i w:val="0"/>
                <w:caps/>
                <w:color w:val="5F6B77"/>
                <w:sz w:val="14"/>
                <w:spacing w:val="30"/>
              </w:rPr>
              <w:t>Education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BSc Mathematics &amp; Economics, University of Bristol</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Fellow, ICAEW (FCA)</w:t>
            </w:r>
          </w:p>
          <w:p>
            <w:pPr>
              <w:keepNext/>
              <w:spacing w:before="200" w:after="60"/>
            </w:pPr>
            <w:r>
              <w:rPr>
                <w:rFonts w:ascii="Calibri" w:hAnsi="Calibri" w:eastAsia="Calibri" w:cs="Calibri"/>
                <w:b/>
                <w:i w:val="0"/>
                <w:caps/>
                <w:color w:val="5F6B77"/>
                <w:sz w:val="14"/>
                <w:spacing w:val="30"/>
              </w:rPr>
              <w:t>Languages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English</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French</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324"/>
        <w:gridCol w:w="7542"/>
      </w:tblGrid>
      <w:tr>
        <w:tc>
          <w:tcPr>
            <w:tcW w:type="dxa" w:w="2324"/>
            <w:vAlign w:val="center"/>
            <w:tcMar>
              <w:top w:w="0" w:type="dxa"/>
              <w:left w:w="0" w:type="dxa"/>
              <w:bottom w:w="0" w:type="dxa"/>
              <w:right w:w="200" w:type="dxa"/>
            </w:tcMar>
          </w:tcPr>
          <w:p>
            <w:pPr>
              <w:spacing w:before="0" w:after="0" w:line="240" w:lineRule="auto"/>
              <w:jc w:val="left"/>
              <w:rPr>
                <w:sz w:val="2"/>
              </w:rPr>
            </w:pPr>
            <w:r>
              <w:drawing>
                <wp:inline distT="0" distB="0" distL="0" distR="0">
                  <wp:extent cx="1296000" cy="1080000"/>
                  <wp:effectExtent l="0" t="0" r="0" b="0"/>
                  <wp:docPr id="1003" name="Candidate photo frame 7701"/>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4" name="Picture 7702"/>
                                    <wp:cNvGraphicFramePr>
                                      <a:graphicFrameLocks noChangeAspect="1"/>
                                    </wp:cNvGraphicFramePr>
                                    <a:graphic>
                                      <a:graphicData uri="http://schemas.openxmlformats.org/drawingml/2006/picture">
                                        <pic:pic>
                                          <pic:nvPicPr>
                                            <pic:cNvPr id="0" name="marcus-oyelaran.jpg"/>
                                            <pic:cNvPicPr/>
                                          </pic:nvPicPr>
                                          <pic:blipFill>
                                            <a:blip r:embed="rId12"/>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c>
          <w:tcPr>
            <w:tcW w:type="dxa" w:w="7542"/>
            <w:vAlign w:val="center"/>
            <w:tcMar>
              <w:top w:w="0" w:type="dxa"/>
              <w:left w:w="200" w:type="dxa"/>
              <w:bottom w:w="0" w:type="dxa"/>
              <w:right w:w="0" w:type="dxa"/>
            </w:tcMar>
          </w:tcPr>
          <w:p>
            <w:pPr>
              <w:spacing w:before="0" w:after="40"/>
            </w:pPr>
            <w:r>
              <w:rPr>
                <w:rFonts w:ascii="Calibri" w:hAnsi="Calibri" w:eastAsia="Calibri" w:cs="Calibri"/>
                <w:b/>
                <w:i w:val="0"/>
                <w:caps/>
                <w:color w:val="5F6B77"/>
                <w:sz w:val="15"/>
                <w:spacing w:val="30"/>
              </w:rPr>
              <w:t xml:space="preserve">Aberdeen, UK</w:t>
            </w:r>
          </w:p>
          <w:p>
            <w:pPr>
              <w:spacing w:before="0" w:after="40"/>
            </w:pPr>
            <w:r>
              <w:rPr>
                <w:rFonts w:ascii="Cambria" w:hAnsi="Cambria" w:eastAsia="Cambria" w:cs="Cambria"/>
                <w:b w:val="0"/>
                <w:i w:val="0"/>
                <w:color w:val="2E3338"/>
                <w:sz w:val="44"/>
              </w:rPr>
              <w:t xml:space="preserve">Marcus Oyelaran</w:t>
            </w:r>
            <w:r>
              <w:rPr>
                <w:rFonts w:ascii="Cambria" w:hAnsi="Cambria" w:eastAsia="Cambria" w:cs="Cambria"/>
                <w:b w:val="0"/>
                <w:i w:val="0"/>
                <w:color w:val="6B6D70"/>
                <w:sz w:val="20"/>
              </w:rPr>
              <w:t xml:space="preserve">  CEng</w:t>
            </w:r>
          </w:p>
          <w:p>
            <w:pPr>
              <w:spacing w:before="0" w:after="80"/>
            </w:pPr>
            <w:r>
              <w:rPr>
                <w:rFonts w:ascii="Calibri" w:hAnsi="Calibri" w:eastAsia="Calibri" w:cs="Calibri"/>
                <w:b/>
                <w:i w:val="0"/>
                <w:color w:val="5F6B77"/>
                <w:sz w:val="22"/>
              </w:rPr>
              <w:t xml:space="preserve">Chief Operating Officer</w:t>
            </w:r>
            <w:r>
              <w:rPr>
                <w:rFonts w:ascii="Calibri" w:hAnsi="Calibri" w:eastAsia="Calibri" w:cs="Calibri"/>
                <w:b w:val="0"/>
                <w:i w:val="0"/>
                <w:color w:val="6B6D70"/>
                <w:sz w:val="20"/>
              </w:rPr>
              <w:t xml:space="preserve">   ·   Tolland Marine &amp; Energy</w:t>
            </w:r>
          </w:p>
          <w:p>
            <w:pPr>
              <w:spacing w:before="0" w:after="0"/>
              <w:pBdr>
                <w:top w:val="single" w:sz="6" w:space="4" w:color="DFE0E1"/>
              </w:pBdr>
            </w:pPr>
            <w:r>
              <w:rPr>
                <w:rFonts w:ascii="Calibri" w:hAnsi="Calibri" w:eastAsia="Calibri" w:cs="Calibri"/>
                <w:b w:val="0"/>
                <w:i w:val="0"/>
                <w:color w:val="2E3338"/>
                <w:sz w:val="19"/>
              </w:rPr>
              <w:t xml:space="preserve">Operations   ·   Offshore energy   ·   Safety leadership   ·   Supply chain</w:t>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351"/>
        <w:gridCol w:w="340"/>
        <w:gridCol w:w="3175"/>
      </w:tblGrid>
      <w:tr>
        <w:tc>
          <w:tcPr>
            <w:tcW w:type="dxa" w:w="6351"/>
            <w:vAlign w:val="top"/>
          </w:tcPr>
          <w:p>
            <w:pPr>
              <w:spacing w:before="0" w:after="0" w:line="20" w:lineRule="exact"/>
            </w:pPr>
            <w:r>
              <w:rPr>
                <w:rFonts w:ascii="Calibri" w:hAnsi="Calibri" w:eastAsia="Calibri" w:cs="Calibri"/>
                <w:b w:val="0"/>
                <w:i w:val="0"/>
                <w:sz w:val="2"/>
              </w:rPr>
            </w:r>
          </w:p>
          <w:p>
            <w:pPr>
              <w:keepNext/>
              <w:spacing w:before="0" w:after="100"/>
              <w:pBdr>
                <w:bottom w:val="single" w:sz="6" w:space="4" w:color="DFE0E1"/>
              </w:pBdr>
            </w:pPr>
            <w:r>
              <w:rPr>
                <w:rFonts w:ascii="Cambria" w:hAnsi="Cambria" w:eastAsia="Cambria" w:cs="Cambria"/>
                <w:b w:val="0"/>
                <w:i w:val="0"/>
                <w:color w:val="2E3338"/>
                <w:sz w:val="22"/>
              </w:rPr>
              <w:t>Biography</w:t>
            </w:r>
          </w:p>
          <w:p>
            <w:pPr>
              <w:spacing w:before="0" w:after="120"/>
              <w:jc w:val="both"/>
            </w:pPr>
            <w:r>
              <w:rPr>
                <w:rFonts w:ascii="Calibri" w:hAnsi="Calibri" w:eastAsia="Calibri" w:cs="Calibri"/>
                <w:b w:val="0"/>
                <w:i w:val="0"/>
                <w:sz w:val="19"/>
              </w:rPr>
              <w:t xml:space="preserve">Marcus Oyelaran is Chief Operating Officer of Tolland Marine &amp; Energy, which runs a fleet of 42 offshore support vessels across the North Sea and West Africa. Marcus is responsible for 2,300 people, vessel operations and the group’s safety performance.</w:t>
            </w:r>
          </w:p>
          <w:p>
            <w:pPr>
              <w:spacing w:before="0" w:after="120"/>
              <w:jc w:val="both"/>
            </w:pPr>
            <w:r>
              <w:rPr>
                <w:rFonts w:ascii="Calibri" w:hAnsi="Calibri" w:eastAsia="Calibri" w:cs="Calibri"/>
                <w:b w:val="0"/>
                <w:i w:val="0"/>
                <w:sz w:val="19"/>
              </w:rPr>
              <w:t xml:space="preserve">Marcus trained as a marine engineer and spent twelve years at Corran Offshore in engineering and operations roles in Aberdeen and Lagos, finishing as Operations Director for West Africa. He joined Tolland in 2018 as Fleet Director and was appointed Chief Operating Officer in 2021.</w:t>
            </w:r>
          </w:p>
          <w:p>
            <w:pPr>
              <w:keepNext/>
              <w:spacing w:before="160" w:after="100"/>
              <w:pBdr>
                <w:bottom w:val="single" w:sz="6" w:space="4" w:color="DFE0E1"/>
              </w:pBdr>
            </w:pPr>
            <w:r>
              <w:rPr>
                <w:rFonts w:ascii="Cambria" w:hAnsi="Cambria" w:eastAsia="Cambria" w:cs="Cambria"/>
                <w:b w:val="0"/>
                <w:i w:val="0"/>
                <w:color w:val="2E3338"/>
                <w:sz w:val="22"/>
              </w:rPr>
              <w:t>Career highlights</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Cut lost-time injuries by 46% across a fleet of 42 vessels between 2021 and 2025</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Raised fleet utilisation from 71% to 86% through a new crewing and maintenance model</w:t>
            </w:r>
          </w:p>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6351"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351"/>
            </w:tblGrid>
            <w:tr>
              <w:trPr>
                <w:cantSplit/>
              </w:trPr>
              <w:tc>
                <w:tcPr>
                  <w:tcW w:type="dxa" w:w="6351"/>
                  <w:shd w:val="clear" w:color="auto" w:fill="F1F2F3"/>
                  <w:tcMar>
                    <w:top w:w="150" w:type="dxa"/>
                    <w:left w:w="220" w:type="dxa"/>
                    <w:bottom w:w="170" w:type="dxa"/>
                    <w:right w:w="220" w:type="dxa"/>
                  </w:tcMar>
                  <w:tcBorders>
                    <w:left w:val="single" w:sz="24" w:space="0" w:color="5F6B77"/>
                  </w:tcBorders>
                </w:tcPr>
                <w:p>
                  <w:pPr>
                    <w:spacing w:before="0" w:after="80"/>
                  </w:pPr>
                  <w:r>
                    <w:rPr>
                      <w:rFonts w:ascii="Calibri" w:hAnsi="Calibri" w:eastAsia="Calibri" w:cs="Calibri"/>
                      <w:b/>
                      <w:i w:val="0"/>
                      <w:caps/>
                      <w:color w:val="5F6B77"/>
                      <w:sz w:val="15"/>
                      <w:spacing w:val="30"/>
                    </w:rPr>
                    <w:t>Short bio</w:t>
                  </w:r>
                  <w:r>
                    <w:rPr>
                      <w:rFonts w:ascii="Calibri" w:hAnsi="Calibri" w:eastAsia="Calibri" w:cs="Calibri"/>
                      <w:b w:val="0"/>
                      <w:i w:val="0"/>
                      <w:color w:val="6B6D70"/>
                      <w:sz w:val="15"/>
                    </w:rPr>
                    <w:t xml:space="preserve">   for programmes, announcements and profiles</w:t>
                  </w:r>
                </w:p>
                <w:p>
                  <w:pPr>
                    <w:spacing w:before="0" w:after="0"/>
                    <w:jc w:val="both"/>
                  </w:pPr>
                  <w:r>
                    <w:rPr>
                      <w:rFonts w:ascii="Calibri" w:hAnsi="Calibri" w:eastAsia="Calibri" w:cs="Calibri"/>
                      <w:b w:val="0"/>
                      <w:i/>
                      <w:sz w:val="19"/>
                    </w:rPr>
                    <w:t xml:space="preserve">Marcus Oyelaran is Chief Operating Officer of Tolland Marine &amp; Energy, responsible for 42 offshore support vessels and 2,300 people. A chartered marine engineer, he previously led operations in West Africa for Corran Offshore and has cut lost-time injuries across the fleet by 46%.</w:t>
                  </w:r>
                </w:p>
              </w:tc>
            </w:tr>
          </w:tbl>
          <w:p/>
          <w:p>
            <w:pPr>
              <w:spacing w:before="0" w:after="0" w:line="2" w:lineRule="exact"/>
            </w:pPr>
            <w:r>
              <w:rPr>
                <w:rFonts w:ascii="Calibri" w:hAnsi="Calibri" w:eastAsia="Calibri" w:cs="Calibri"/>
                <w:b w:val="0"/>
                <w:i w:val="0"/>
                <w:sz w:val="2"/>
              </w:rPr>
            </w:r>
          </w:p>
        </w:tc>
        <w:tc>
          <w:tcPr>
            <w:tcW w:type="dxa" w:w="340"/>
          </w:tcPr>
          <w:p/>
        </w:tc>
        <w:tc>
          <w:tcPr>
            <w:tcW w:type="dxa" w:w="3175"/>
            <w:vAlign w:val="top"/>
            <w:shd w:val="clear" w:color="auto" w:fill="F1F2F3"/>
            <w:tcMar>
              <w:top w:w="160" w:type="dxa"/>
              <w:left w:w="220" w:type="dxa"/>
              <w:bottom w:w="200" w:type="dxa"/>
              <w:right w:w="200" w:type="dxa"/>
            </w:tcMar>
          </w:tcPr>
          <w:p>
            <w:pPr>
              <w:spacing w:before="0" w:after="0" w:line="20" w:lineRule="exact"/>
            </w:pPr>
            <w:r>
              <w:rPr>
                <w:rFonts w:ascii="Calibri" w:hAnsi="Calibri" w:eastAsia="Calibri" w:cs="Calibri"/>
                <w:b w:val="0"/>
                <w:i w:val="0"/>
                <w:sz w:val="2"/>
              </w:rPr>
            </w:r>
          </w:p>
          <w:p>
            <w:pPr>
              <w:keepNext/>
              <w:spacing w:before="0" w:after="60"/>
            </w:pPr>
            <w:r>
              <w:rPr>
                <w:rFonts w:ascii="Calibri" w:hAnsi="Calibri" w:eastAsia="Calibri" w:cs="Calibri"/>
                <w:b/>
                <w:i w:val="0"/>
                <w:caps/>
                <w:color w:val="5F6B77"/>
                <w:sz w:val="14"/>
                <w:spacing w:val="30"/>
              </w:rPr>
              <w:t>Current roles</w:t>
            </w:r>
          </w:p>
          <w:p>
            <w:pPr>
              <w:keepNext/>
              <w:spacing w:before="60" w:after="0"/>
            </w:pPr>
            <w:r>
              <w:rPr>
                <w:rFonts w:ascii="Calibri" w:hAnsi="Calibri" w:eastAsia="Calibri" w:cs="Calibri"/>
                <w:b/>
                <w:i w:val="0"/>
                <w:color w:val="2E3338"/>
                <w:sz w:val="17"/>
              </w:rPr>
              <w:t xml:space="preserve">Chief Operating Officer</w:t>
            </w:r>
          </w:p>
          <w:p>
            <w:pPr>
              <w:spacing w:before="0" w:after="0"/>
            </w:pPr>
            <w:r>
              <w:rPr>
                <w:rFonts w:ascii="Calibri" w:hAnsi="Calibri" w:eastAsia="Calibri" w:cs="Calibri"/>
                <w:b w:val="0"/>
                <w:i w:val="0"/>
                <w:color w:val="6B6D70"/>
                <w:sz w:val="16"/>
              </w:rPr>
              <w:t xml:space="preserve">Tolland Marine &amp; Energy  ·  2021 – present</w:t>
            </w:r>
          </w:p>
          <w:p>
            <w:pPr>
              <w:keepNext/>
              <w:spacing w:before="200" w:after="60"/>
            </w:pPr>
            <w:r>
              <w:rPr>
                <w:rFonts w:ascii="Calibri" w:hAnsi="Calibri" w:eastAsia="Calibri" w:cs="Calibri"/>
                <w:b/>
                <w:i w:val="0"/>
                <w:caps/>
                <w:color w:val="5F6B77"/>
                <w:sz w:val="14"/>
                <w:spacing w:val="30"/>
              </w:rPr>
              <w:t>Previous roles</w:t>
            </w:r>
          </w:p>
          <w:p>
            <w:pPr>
              <w:keepNext/>
              <w:spacing w:before="60" w:after="0"/>
            </w:pPr>
            <w:r>
              <w:rPr>
                <w:rFonts w:ascii="Calibri" w:hAnsi="Calibri" w:eastAsia="Calibri" w:cs="Calibri"/>
                <w:b/>
                <w:i w:val="0"/>
                <w:color w:val="2E3338"/>
                <w:sz w:val="17"/>
              </w:rPr>
              <w:t xml:space="preserve">Fleet Director</w:t>
            </w:r>
          </w:p>
          <w:p>
            <w:pPr>
              <w:spacing w:before="0" w:after="0"/>
            </w:pPr>
            <w:r>
              <w:rPr>
                <w:rFonts w:ascii="Calibri" w:hAnsi="Calibri" w:eastAsia="Calibri" w:cs="Calibri"/>
                <w:b w:val="0"/>
                <w:i w:val="0"/>
                <w:color w:val="6B6D70"/>
                <w:sz w:val="16"/>
              </w:rPr>
              <w:t xml:space="preserve">Tolland Marine &amp; Energy  ·  2018 – 2021</w:t>
            </w:r>
          </w:p>
          <w:p>
            <w:pPr>
              <w:keepNext/>
              <w:spacing w:before="60" w:after="0"/>
            </w:pPr>
            <w:r>
              <w:rPr>
                <w:rFonts w:ascii="Calibri" w:hAnsi="Calibri" w:eastAsia="Calibri" w:cs="Calibri"/>
                <w:b/>
                <w:i w:val="0"/>
                <w:color w:val="2E3338"/>
                <w:sz w:val="17"/>
              </w:rPr>
              <w:t xml:space="preserve">Operations Director, West Africa</w:t>
            </w:r>
          </w:p>
          <w:p>
            <w:pPr>
              <w:spacing w:before="0" w:after="0"/>
            </w:pPr>
            <w:r>
              <w:rPr>
                <w:rFonts w:ascii="Calibri" w:hAnsi="Calibri" w:eastAsia="Calibri" w:cs="Calibri"/>
                <w:b w:val="0"/>
                <w:i w:val="0"/>
                <w:color w:val="6B6D70"/>
                <w:sz w:val="16"/>
              </w:rPr>
              <w:t xml:space="preserve">Corran Offshore  ·  2013 – 2018</w:t>
            </w:r>
          </w:p>
          <w:p>
            <w:pPr>
              <w:keepNext/>
              <w:spacing w:before="60" w:after="0"/>
            </w:pPr>
            <w:r>
              <w:rPr>
                <w:rFonts w:ascii="Calibri" w:hAnsi="Calibri" w:eastAsia="Calibri" w:cs="Calibri"/>
                <w:b/>
                <w:i w:val="0"/>
                <w:color w:val="2E3338"/>
                <w:sz w:val="17"/>
              </w:rPr>
              <w:t xml:space="preserve">Senior Marine Engineer</w:t>
            </w:r>
          </w:p>
          <w:p>
            <w:pPr>
              <w:spacing w:before="0" w:after="0"/>
            </w:pPr>
            <w:r>
              <w:rPr>
                <w:rFonts w:ascii="Calibri" w:hAnsi="Calibri" w:eastAsia="Calibri" w:cs="Calibri"/>
                <w:b w:val="0"/>
                <w:i w:val="0"/>
                <w:color w:val="6B6D70"/>
                <w:sz w:val="16"/>
              </w:rPr>
              <w:t xml:space="preserve">Corran Offshore  ·  2006 – 2013</w:t>
            </w:r>
          </w:p>
          <w:p>
            <w:pPr>
              <w:keepNext/>
              <w:spacing w:before="200" w:after="60"/>
            </w:pPr>
            <w:r>
              <w:rPr>
                <w:rFonts w:ascii="Calibri" w:hAnsi="Calibri" w:eastAsia="Calibri" w:cs="Calibri"/>
                <w:b/>
                <w:i w:val="0"/>
                <w:caps/>
                <w:color w:val="5F6B77"/>
                <w:sz w:val="14"/>
                <w:spacing w:val="30"/>
              </w:rPr>
              <w:t>Education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MEng Marine Engineering, University of Southampton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Chartered Engineer (CEng), IMarEST</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324"/>
        <w:gridCol w:w="7542"/>
      </w:tblGrid>
      <w:tr>
        <w:tc>
          <w:tcPr>
            <w:tcW w:type="dxa" w:w="2324"/>
            <w:vAlign w:val="center"/>
            <w:tcMar>
              <w:top w:w="0" w:type="dxa"/>
              <w:left w:w="0" w:type="dxa"/>
              <w:bottom w:w="0" w:type="dxa"/>
              <w:right w:w="200" w:type="dxa"/>
            </w:tcMar>
          </w:tcPr>
          <w:p>
            <w:pPr>
              <w:spacing w:before="0" w:after="0" w:line="240" w:lineRule="auto"/>
              <w:rPr>
                <w:sz w:val="2"/>
              </w:rPr>
            </w:pPr>
            <w:r>
              <w:drawing>
                <wp:inline distT="0" distB="0" distL="0" distR="0">
                  <wp:extent cx="936000" cy="936000"/>
                  <wp:effectExtent l="0" t="0" r="0" b="0"/>
                  <wp:docPr id="1005" name="Monogram 901"/>
                  <wp:cNvGraphicFramePr/>
                  <a:graphic xmlns:a="http://schemas.openxmlformats.org/drawingml/2006/main">
                    <a:graphicData uri="http://schemas.microsoft.com/office/word/2010/wordprocessingShape">
                      <wps:wsp>
                        <wps:cNvSpPr/>
                        <wps:spPr>
                          <a:xfrm>
                            <a:off x="0" y="0"/>
                            <a:ext cx="936000" cy="936000"/>
                          </a:xfrm>
                          <a:prstGeom prst="rect">
                            <a:avLst/>
                          </a:prstGeom>
                          <a:solidFill>
                            <a:srgbClr val="2E3338"/>
                          </a:solidFill>
                          <a:ln>
                            <a:noFill/>
                          </a:ln>
                        </wps:spPr>
                        <wps:txbx>
                          <w:txbxContent>
                            <w:p>
                              <w:pPr>
                                <w:spacing w:before="0" w:after="0" w:line="240" w:lineRule="auto"/>
                                <w:jc w:val="center"/>
                              </w:pPr>
                              <w:r>
                                <w:rPr>
                                  <w:rFonts w:ascii="Cambria" w:hAnsi="Cambria" w:eastAsia="Cambria" w:cs="Cambria"/>
                                  <w:color w:val="FFFFFF"/>
                                  <w:sz w:val="52"/>
                                </w:rPr>
                                <w:t xml:space="preserve">S</w:t>
                              </w:r>
                            </w:p>
                          </w:txbxContent>
                        </wps:txbx>
                        <wps:bodyPr rot="0" vert="horz" wrap="square" lIns="0" tIns="0" rIns="0" bIns="0" anchor="ctr" anchorCtr="0">
                          <a:noAutofit/>
                        </wps:bodyPr>
                      </wps:wsp>
                    </a:graphicData>
                  </a:graphic>
                </wp:inline>
              </w:drawing>
            </w:r>
          </w:p>
        </w:tc>
        <w:tc>
          <w:tcPr>
            <w:tcW w:type="dxa" w:w="7542"/>
            <w:vAlign w:val="center"/>
            <w:tcMar>
              <w:top w:w="0" w:type="dxa"/>
              <w:left w:w="200" w:type="dxa"/>
              <w:bottom w:w="0" w:type="dxa"/>
              <w:right w:w="0" w:type="dxa"/>
            </w:tcMar>
          </w:tcPr>
          <w:p>
            <w:pPr>
              <w:spacing w:before="0" w:after="40"/>
            </w:pPr>
            <w:r>
              <w:rPr>
                <w:rFonts w:ascii="Calibri" w:hAnsi="Calibri" w:eastAsia="Calibri" w:cs="Calibri"/>
                <w:b/>
                <w:i w:val="0"/>
                <w:caps/>
                <w:color w:val="5F6B77"/>
                <w:sz w:val="15"/>
                <w:spacing w:val="30"/>
              </w:rPr>
              <w:t xml:space="preserve">Stockholm, Sweden</w:t>
            </w:r>
          </w:p>
          <w:p>
            <w:pPr>
              <w:spacing w:before="0" w:after="40"/>
            </w:pPr>
            <w:r>
              <w:rPr>
                <w:rFonts w:ascii="Cambria" w:hAnsi="Cambria" w:eastAsia="Cambria" w:cs="Cambria"/>
                <w:b w:val="0"/>
                <w:i w:val="0"/>
                <w:color w:val="2E3338"/>
                <w:sz w:val="44"/>
              </w:rPr>
              <w:t xml:space="preserve">Sofia Lindqvist</w:t>
            </w:r>
            <w:r>
              <w:rPr>
                <w:rFonts w:ascii="Cambria" w:hAnsi="Cambria" w:eastAsia="Cambria" w:cs="Cambria"/>
                <w:b w:val="0"/>
                <w:i w:val="0"/>
                <w:color w:val="6B6D70"/>
                <w:sz w:val="20"/>
              </w:rPr>
              <w:t xml:space="preserve"/>
            </w:r>
          </w:p>
          <w:p>
            <w:pPr>
              <w:spacing w:before="0" w:after="80"/>
            </w:pPr>
            <w:r>
              <w:rPr>
                <w:rFonts w:ascii="Calibri" w:hAnsi="Calibri" w:eastAsia="Calibri" w:cs="Calibri"/>
                <w:b/>
                <w:i w:val="0"/>
                <w:color w:val="5F6B77"/>
                <w:sz w:val="22"/>
              </w:rPr>
              <w:t xml:space="preserve">Chief People Officer</w:t>
            </w:r>
            <w:r>
              <w:rPr>
                <w:rFonts w:ascii="Calibri" w:hAnsi="Calibri" w:eastAsia="Calibri" w:cs="Calibri"/>
                <w:b w:val="0"/>
                <w:i w:val="0"/>
                <w:color w:val="6B6D70"/>
                <w:sz w:val="20"/>
              </w:rPr>
              <w:t xml:space="preserve">   ·   Northgate Health</w:t>
            </w:r>
          </w:p>
          <w:p>
            <w:pPr>
              <w:spacing w:before="0" w:after="0"/>
              <w:pBdr>
                <w:top w:val="single" w:sz="6" w:space="4" w:color="DFE0E1"/>
              </w:pBdr>
            </w:pPr>
            <w:r>
              <w:rPr>
                <w:rFonts w:ascii="Calibri" w:hAnsi="Calibri" w:eastAsia="Calibri" w:cs="Calibri"/>
                <w:b w:val="0"/>
                <w:i w:val="0"/>
                <w:color w:val="2E3338"/>
                <w:sz w:val="19"/>
              </w:rPr>
              <w:t xml:space="preserve">Organisation design   ·   Culture change   ·   Reward</w:t>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351"/>
        <w:gridCol w:w="340"/>
        <w:gridCol w:w="3175"/>
      </w:tblGrid>
      <w:tr>
        <w:tc>
          <w:tcPr>
            <w:tcW w:type="dxa" w:w="6351"/>
            <w:vAlign w:val="top"/>
          </w:tcPr>
          <w:p>
            <w:pPr>
              <w:spacing w:before="0" w:after="0" w:line="20" w:lineRule="exact"/>
            </w:pPr>
            <w:r>
              <w:rPr>
                <w:rFonts w:ascii="Calibri" w:hAnsi="Calibri" w:eastAsia="Calibri" w:cs="Calibri"/>
                <w:b w:val="0"/>
                <w:i w:val="0"/>
                <w:sz w:val="2"/>
              </w:rPr>
            </w:r>
          </w:p>
          <w:p>
            <w:pPr>
              <w:keepNext/>
              <w:spacing w:before="0" w:after="100"/>
              <w:pBdr>
                <w:bottom w:val="single" w:sz="6" w:space="4" w:color="DFE0E1"/>
              </w:pBdr>
            </w:pPr>
            <w:r>
              <w:rPr>
                <w:rFonts w:ascii="Cambria" w:hAnsi="Cambria" w:eastAsia="Cambria" w:cs="Cambria"/>
                <w:b w:val="0"/>
                <w:i w:val="0"/>
                <w:color w:val="2E3338"/>
                <w:sz w:val="22"/>
              </w:rPr>
              <w:t>Biography</w:t>
            </w:r>
          </w:p>
          <w:p>
            <w:pPr>
              <w:spacing w:before="0" w:after="120"/>
              <w:jc w:val="both"/>
            </w:pPr>
            <w:r>
              <w:rPr>
                <w:rFonts w:ascii="Calibri" w:hAnsi="Calibri" w:eastAsia="Calibri" w:cs="Calibri"/>
                <w:b w:val="0"/>
                <w:i w:val="0"/>
                <w:sz w:val="19"/>
              </w:rPr>
              <w:t xml:space="preserve">Sofia Lindqvist is Chief People Officer of Northgate Health, a Nordic network of 60 clinics with 4,800 employees. Sofia leads people strategy, reward and leadership development, and sits on the group executive committee.</w:t>
            </w:r>
          </w:p>
          <w:p>
            <w:pPr>
              <w:spacing w:before="0" w:after="120"/>
              <w:jc w:val="both"/>
            </w:pPr>
            <w:r>
              <w:rPr>
                <w:rFonts w:ascii="Calibri" w:hAnsi="Calibri" w:eastAsia="Calibri" w:cs="Calibri"/>
                <w:b w:val="0"/>
                <w:i w:val="0"/>
                <w:sz w:val="19"/>
              </w:rPr>
              <w:t xml:space="preserve">Sofia previously held senior HR roles at Varde Retail and Ostby Telecom in Stockholm and Copenhagen. She holds an MSc in Business &amp; Economics from the Stockholm School of Economics.</w:t>
            </w:r>
          </w:p>
          <w:p>
            <w:pPr>
              <w:keepNext/>
              <w:spacing w:before="160" w:after="100"/>
              <w:pBdr>
                <w:bottom w:val="single" w:sz="6" w:space="4" w:color="DFE0E1"/>
              </w:pBdr>
            </w:pPr>
            <w:r>
              <w:rPr>
                <w:rFonts w:ascii="Cambria" w:hAnsi="Cambria" w:eastAsia="Cambria" w:cs="Cambria"/>
                <w:b w:val="0"/>
                <w:i w:val="0"/>
                <w:color w:val="2E3338"/>
                <w:sz w:val="22"/>
              </w:rPr>
              <w:t>Career highlights</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Reduced clinical staff turnover from 21% to 13% in three years at Northgate Health</w:t>
            </w:r>
          </w:p>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6351"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351"/>
            </w:tblGrid>
            <w:tr>
              <w:trPr>
                <w:cantSplit/>
              </w:trPr>
              <w:tc>
                <w:tcPr>
                  <w:tcW w:type="dxa" w:w="6351"/>
                  <w:shd w:val="clear" w:color="auto" w:fill="F1F2F3"/>
                  <w:tcMar>
                    <w:top w:w="150" w:type="dxa"/>
                    <w:left w:w="220" w:type="dxa"/>
                    <w:bottom w:w="170" w:type="dxa"/>
                    <w:right w:w="220" w:type="dxa"/>
                  </w:tcMar>
                  <w:tcBorders>
                    <w:left w:val="single" w:sz="24" w:space="0" w:color="5F6B77"/>
                  </w:tcBorders>
                </w:tcPr>
                <w:p>
                  <w:pPr>
                    <w:spacing w:before="0" w:after="80"/>
                  </w:pPr>
                  <w:r>
                    <w:rPr>
                      <w:rFonts w:ascii="Calibri" w:hAnsi="Calibri" w:eastAsia="Calibri" w:cs="Calibri"/>
                      <w:b/>
                      <w:i w:val="0"/>
                      <w:caps/>
                      <w:color w:val="5F6B77"/>
                      <w:sz w:val="15"/>
                      <w:spacing w:val="30"/>
                    </w:rPr>
                    <w:t>Short bio</w:t>
                  </w:r>
                  <w:r>
                    <w:rPr>
                      <w:rFonts w:ascii="Calibri" w:hAnsi="Calibri" w:eastAsia="Calibri" w:cs="Calibri"/>
                      <w:b w:val="0"/>
                      <w:i w:val="0"/>
                      <w:color w:val="6B6D70"/>
                      <w:sz w:val="15"/>
                    </w:rPr>
                    <w:t xml:space="preserve">   for programmes, announcements and profiles</w:t>
                  </w:r>
                </w:p>
                <w:p>
                  <w:pPr>
                    <w:spacing w:before="0" w:after="0"/>
                    <w:jc w:val="both"/>
                  </w:pPr>
                  <w:r>
                    <w:rPr>
                      <w:rFonts w:ascii="Calibri" w:hAnsi="Calibri" w:eastAsia="Calibri" w:cs="Calibri"/>
                      <w:b w:val="0"/>
                      <w:i/>
                      <w:sz w:val="19"/>
                    </w:rPr>
                    <w:t xml:space="preserve">Sofia Lindqvist is Chief People Officer of Northgate Health, the Nordic network of 60 clinics, where she leads people strategy for 4,800 employees and has cut clinical staff turnover from 21% to 13%. She previously held senior HR roles at Varde Retail and Ostby Telecom.</w:t>
                  </w:r>
                </w:p>
              </w:tc>
            </w:tr>
          </w:tbl>
          <w:p/>
          <w:p>
            <w:pPr>
              <w:spacing w:before="0" w:after="0" w:line="2" w:lineRule="exact"/>
            </w:pPr>
            <w:r>
              <w:rPr>
                <w:rFonts w:ascii="Calibri" w:hAnsi="Calibri" w:eastAsia="Calibri" w:cs="Calibri"/>
                <w:b w:val="0"/>
                <w:i w:val="0"/>
                <w:sz w:val="2"/>
              </w:rPr>
            </w:r>
          </w:p>
        </w:tc>
        <w:tc>
          <w:tcPr>
            <w:tcW w:type="dxa" w:w="340"/>
          </w:tcPr>
          <w:p/>
        </w:tc>
        <w:tc>
          <w:tcPr>
            <w:tcW w:type="dxa" w:w="3175"/>
            <w:vAlign w:val="top"/>
            <w:shd w:val="clear" w:color="auto" w:fill="F1F2F3"/>
            <w:tcMar>
              <w:top w:w="160" w:type="dxa"/>
              <w:left w:w="220" w:type="dxa"/>
              <w:bottom w:w="200" w:type="dxa"/>
              <w:right w:w="200" w:type="dxa"/>
            </w:tcMar>
          </w:tcPr>
          <w:p>
            <w:pPr>
              <w:spacing w:before="0" w:after="0" w:line="20" w:lineRule="exact"/>
            </w:pPr>
            <w:r>
              <w:rPr>
                <w:rFonts w:ascii="Calibri" w:hAnsi="Calibri" w:eastAsia="Calibri" w:cs="Calibri"/>
                <w:b w:val="0"/>
                <w:i w:val="0"/>
                <w:sz w:val="2"/>
              </w:rPr>
            </w:r>
          </w:p>
          <w:p>
            <w:pPr>
              <w:keepNext/>
              <w:spacing w:before="0" w:after="60"/>
            </w:pPr>
            <w:r>
              <w:rPr>
                <w:rFonts w:ascii="Calibri" w:hAnsi="Calibri" w:eastAsia="Calibri" w:cs="Calibri"/>
                <w:b/>
                <w:i w:val="0"/>
                <w:caps/>
                <w:color w:val="5F6B77"/>
                <w:sz w:val="14"/>
                <w:spacing w:val="30"/>
              </w:rPr>
              <w:t>Current roles</w:t>
            </w:r>
          </w:p>
          <w:p>
            <w:pPr>
              <w:keepNext/>
              <w:spacing w:before="60" w:after="0"/>
            </w:pPr>
            <w:r>
              <w:rPr>
                <w:rFonts w:ascii="Calibri" w:hAnsi="Calibri" w:eastAsia="Calibri" w:cs="Calibri"/>
                <w:b/>
                <w:i w:val="0"/>
                <w:color w:val="2E3338"/>
                <w:sz w:val="17"/>
              </w:rPr>
              <w:t xml:space="preserve">Chief People Officer</w:t>
            </w:r>
          </w:p>
          <w:p>
            <w:pPr>
              <w:spacing w:before="0" w:after="0"/>
            </w:pPr>
            <w:r>
              <w:rPr>
                <w:rFonts w:ascii="Calibri" w:hAnsi="Calibri" w:eastAsia="Calibri" w:cs="Calibri"/>
                <w:b w:val="0"/>
                <w:i w:val="0"/>
                <w:color w:val="6B6D70"/>
                <w:sz w:val="16"/>
              </w:rPr>
              <w:t xml:space="preserve">Northgate Health  ·  2022 – present</w:t>
            </w:r>
          </w:p>
          <w:p>
            <w:pPr>
              <w:keepNext/>
              <w:spacing w:before="200" w:after="60"/>
            </w:pPr>
            <w:r>
              <w:rPr>
                <w:rFonts w:ascii="Calibri" w:hAnsi="Calibri" w:eastAsia="Calibri" w:cs="Calibri"/>
                <w:b/>
                <w:i w:val="0"/>
                <w:caps/>
                <w:color w:val="5F6B77"/>
                <w:sz w:val="14"/>
                <w:spacing w:val="30"/>
              </w:rPr>
              <w:t>Previous roles</w:t>
            </w:r>
          </w:p>
          <w:p>
            <w:pPr>
              <w:keepNext/>
              <w:spacing w:before="60" w:after="0"/>
            </w:pPr>
            <w:r>
              <w:rPr>
                <w:rFonts w:ascii="Calibri" w:hAnsi="Calibri" w:eastAsia="Calibri" w:cs="Calibri"/>
                <w:b/>
                <w:i w:val="0"/>
                <w:color w:val="2E3338"/>
                <w:sz w:val="17"/>
              </w:rPr>
              <w:t xml:space="preserve">HR Director, Nordics</w:t>
            </w:r>
          </w:p>
          <w:p>
            <w:pPr>
              <w:spacing w:before="0" w:after="0"/>
            </w:pPr>
            <w:r>
              <w:rPr>
                <w:rFonts w:ascii="Calibri" w:hAnsi="Calibri" w:eastAsia="Calibri" w:cs="Calibri"/>
                <w:b w:val="0"/>
                <w:i w:val="0"/>
                <w:color w:val="6B6D70"/>
                <w:sz w:val="16"/>
              </w:rPr>
              <w:t xml:space="preserve">Varde Retail  ·  2017 – 2022</w:t>
            </w:r>
          </w:p>
          <w:p>
            <w:pPr>
              <w:keepNext/>
              <w:spacing w:before="60" w:after="0"/>
            </w:pPr>
            <w:r>
              <w:rPr>
                <w:rFonts w:ascii="Calibri" w:hAnsi="Calibri" w:eastAsia="Calibri" w:cs="Calibri"/>
                <w:b/>
                <w:i w:val="0"/>
                <w:color w:val="2E3338"/>
                <w:sz w:val="17"/>
              </w:rPr>
              <w:t xml:space="preserve">Head of Reward</w:t>
            </w:r>
          </w:p>
          <w:p>
            <w:pPr>
              <w:spacing w:before="0" w:after="0"/>
            </w:pPr>
            <w:r>
              <w:rPr>
                <w:rFonts w:ascii="Calibri" w:hAnsi="Calibri" w:eastAsia="Calibri" w:cs="Calibri"/>
                <w:b w:val="0"/>
                <w:i w:val="0"/>
                <w:color w:val="6B6D70"/>
                <w:sz w:val="16"/>
              </w:rPr>
              <w:t xml:space="preserve">Ostby Telecom  ·  2012 – 2017</w:t>
            </w:r>
          </w:p>
          <w:p>
            <w:pPr>
              <w:keepNext/>
              <w:spacing w:before="200" w:after="60"/>
            </w:pPr>
            <w:r>
              <w:rPr>
                <w:rFonts w:ascii="Calibri" w:hAnsi="Calibri" w:eastAsia="Calibri" w:cs="Calibri"/>
                <w:b/>
                <w:i w:val="0"/>
                <w:caps/>
                <w:color w:val="5F6B77"/>
                <w:sz w:val="14"/>
                <w:spacing w:val="30"/>
              </w:rPr>
              <w:t>Education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MSc Business &amp; Economics, Stockholm School of Economics</w:t>
            </w:r>
          </w:p>
          <w:p>
            <w:pPr>
              <w:keepNext/>
              <w:spacing w:before="200" w:after="60"/>
            </w:pPr>
            <w:r>
              <w:rPr>
                <w:rFonts w:ascii="Calibri" w:hAnsi="Calibri" w:eastAsia="Calibri" w:cs="Calibri"/>
                <w:b/>
                <w:i w:val="0"/>
                <w:caps/>
                <w:color w:val="5F6B77"/>
                <w:sz w:val="14"/>
                <w:spacing w:val="30"/>
              </w:rPr>
              <w:t>Languages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Swedish</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English</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7"/>
              </w:rPr>
              <w:tab/>
            </w:r>
            <w:r>
              <w:rPr>
                <w:rFonts w:ascii="Calibri" w:hAnsi="Calibri" w:eastAsia="Calibri" w:cs="Calibri"/>
                <w:b w:val="0"/>
                <w:i w:val="0"/>
                <w:color w:val="1F2226"/>
                <w:sz w:val="17"/>
              </w:rPr>
              <w:t xml:space="preserve">Danish</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64" w:right="1020" w:bottom="850" w:left="1020"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Prepared from the executive’s CV. Please confirm with the executive before publishing.</w:t>
    </w:r>
  </w:p>
  <w:p>
    <w:pPr>
      <w:tabs>
        <w:tab w:pos="9866"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866"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Executive biography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Bio</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