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1701"/>
        <w:gridCol w:w="8165"/>
      </w:tblGrid>
      <w:tr>
        <w:trPr>
          <w:trHeight w:val="1644" w:hRule="atLeast"/>
        </w:trPr>
        <w:tc>
          <w:tcPr>
            <w:tcW w:type="dxa" w:w="1701"/>
            <w:shd w:val="clear" w:color="auto" w:fill="2E3338"/>
            <w:vAlign w:val="center"/>
          </w:tcPr>
          <w:p>
            <w:pPr>
              <w:spacing w:line="240" w:lineRule="auto"/>
              <w:jc w:val="center"/>
              <w:rPr>
                <w:sz w:val="2"/>
              </w:rPr>
            </w:pPr>
            <w:r>
              <w:drawing>
                <wp:inline distT="0" distB="0" distL="0" distR="0">
                  <wp:extent cx="1080000" cy="1080000"/>
                  <wp:effectExtent l="0" t="0" r="0" b="0"/>
                  <wp:docPr id="1001" name="Candidate photo frame 7703"/>
                  <wp:cNvGraphicFramePr/>
                  <a:graphic xmlns:a="http://schemas.openxmlformats.org/drawingml/2006/main">
                    <a:graphicData uri="http://schemas.microsoft.com/office/word/2010/wordprocessingShape">
                      <wps:wsp>
                        <wps:cNvSpPr txBox="1"/>
                        <wps:spPr>
                          <a:xfrm>
                            <a:off x="0" y="0"/>
                            <a:ext cx="1080000" cy="1080000"/>
                          </a:xfrm>
                          <a:prstGeom prst="rect">
                            <a:avLst/>
                          </a:prstGeom>
                          <a:noFill/>
                          <a:ln>
                            <a:noFill/>
                          </a:ln>
                        </wps:spPr>
                        <wps:txbx>
                          <w:txbxContent>
                            <w:p>
                              <w:pPr>
                                <w:spacing w:before="0" w:after="0" w:line="240" w:lineRule="auto"/>
                                <w:jc w:val="center"/>
                                <w:rPr>
                                  <w:sz w:val="2"/>
                                </w:rPr>
                              </w:pPr>
                              <w:r>
                                <w:rPr>
                                  <w:sz w:val="2"/>
                                </w:rPr>
                                <w:t xml:space="preserve"/>
                              </w:r>
                              <w:r>
                                <w:drawing>
                                  <wp:inline xmlns:pic="http://schemas.openxmlformats.org/drawingml/2006/picture">
                                    <wp:extent cx="1080000" cy="1080000"/>
                                    <wp:docPr id="1002" name="Picture 7704"/>
                                    <wp:cNvGraphicFramePr>
                                      <a:graphicFrameLocks noChangeAspect="1"/>
                                    </wp:cNvGraphicFramePr>
                                    <a:graphic>
                                      <a:graphicData uri="http://schemas.openxmlformats.org/drawingml/2006/picture">
                                        <pic:pic>
                                          <pic:nvPicPr>
                                            <pic:cNvPr id="0" name="eleanor-marsh-round.png"/>
                                            <pic:cNvPicPr/>
                                          </pic:nvPicPr>
                                          <pic:blipFill>
                                            <a:blip r:embed="rId11"/>
                                            <a:stretch>
                                              <a:fillRect/>
                                            </a:stretch>
                                          </pic:blipFill>
                                          <pic:spPr>
                                            <a:xfrm>
                                              <a:off x="0" y="0"/>
                                              <a:ext cx="1080000" cy="1080000"/>
                                            </a:xfrm>
                                            <a:prstGeom prst="rect"/>
                                          </pic:spPr>
                                        </pic:pic>
                                      </a:graphicData>
                                    </a:graphic>
                                  </wp:inline>
                                </w:drawing>
                              </w:r>
                              <w:r>
                                <w:t xml:space="preserve"/>
                              </w:r>
                            </w:p>
                          </w:txbxContent>
                        </wps:txbx>
                        <wps:bodyPr rot="0" vert="horz" wrap="square" lIns="0" tIns="0" rIns="0" bIns="0" anchor="t" anchorCtr="0">
                          <a:noAutofit/>
                        </wps:bodyPr>
                      </wps:wsp>
                    </a:graphicData>
                  </a:graphic>
                </wp:inline>
              </w:drawing>
            </w:r>
          </w:p>
        </w:tc>
        <w:tc>
          <w:tcPr>
            <w:tcW w:type="dxa" w:w="8165"/>
            <w:shd w:val="clear" w:color="auto" w:fill="F1F2F3"/>
            <w:vAlign w:val="center"/>
            <w:tcMar>
              <w:top w:w="220" w:type="dxa"/>
              <w:left w:w="340" w:type="dxa"/>
              <w:bottom w:w="240" w:type="dxa"/>
              <w:right w:w="280" w:type="dxa"/>
            </w:tcMar>
          </w:tcPr>
          <w:p>
            <w:pPr>
              <w:spacing w:before="0" w:after="60"/>
            </w:pPr>
            <w:r>
              <w:rPr>
                <w:rFonts w:ascii="Calibri" w:hAnsi="Calibri" w:eastAsia="Calibri"/>
                <w:b/>
                <w:i w:val="0"/>
                <w:caps/>
                <w:color w:val="5F6B77"/>
                <w:sz w:val="15"/>
                <w:spacing w:val="30"/>
              </w:rPr>
              <w:t>Executive assessment report</w:t>
            </w:r>
          </w:p>
          <w:p>
            <w:pPr>
              <w:spacing w:before="0" w:after="40"/>
            </w:pPr>
            <w:r>
              <w:rPr>
                <w:rFonts w:ascii="Cambria" w:hAnsi="Cambria" w:eastAsia="Cambria"/>
                <w:b w:val="0"/>
                <w:i w:val="0"/>
                <w:color w:val="2E3338"/>
                <w:sz w:val="50"/>
              </w:rPr>
              <w:t xml:space="preserve">Eleanor Marsh</w:t>
            </w:r>
          </w:p>
          <w:p>
            <w:pPr>
              <w:spacing w:before="0" w:after="0"/>
            </w:pPr>
            <w:r>
              <w:rPr>
                <w:rFonts w:ascii="Calibri" w:hAnsi="Calibri" w:eastAsia="Calibri"/>
                <w:b/>
                <w:i w:val="0"/>
                <w:color w:val="5F6B77"/>
                <w:sz w:val="21"/>
              </w:rPr>
              <w:t xml:space="preserve">Group Operations Director</w:t>
            </w:r>
            <w:r>
              <w:rPr>
                <w:rFonts w:ascii="Calibri" w:hAnsi="Calibri" w:eastAsia="Calibri"/>
                <w:b w:val="0"/>
                <w:i w:val="0"/>
                <w:color w:val="2E3338"/>
                <w:sz w:val="21"/>
              </w:rPr>
              <w:t xml:space="preserve">  ·  Marlow &amp; Reeve Logistics</w:t>
            </w:r>
            <w:r>
              <w:rPr>
                <w:rFonts w:ascii="Calibri" w:hAnsi="Calibri" w:eastAsia="Calibri"/>
                <w:b w:val="0"/>
                <w:i w:val="0"/>
                <w:color w:val="6B6D70"/>
                <w:sz w:val="21"/>
              </w:rPr>
              <w:t xml:space="preserve">  ·  Leeds, UK</w:t>
            </w:r>
          </w:p>
        </w:tc>
      </w:tr>
    </w:tbl>
    <w:p>
      <w:pPr>
        <w:spacing w:before="0" w:after="0" w:line="160" w:lineRule="exact"/>
      </w:pPr>
      <w:r>
        <w:rPr>
          <w:rFonts w:ascii="Calibri" w:hAnsi="Calibri" w:eastAsia="Calibri"/>
          <w:b w:val="0"/>
          <w:i w:val="0"/>
          <w:sz w:val="2"/>
        </w:rPr>
      </w:r>
    </w:p>
    <w:tbl>
      <w:tblPr>
        <w:tblLook w:firstColumn="1" w:firstRow="1" w:lastColumn="0" w:lastRow="0" w:noHBand="0" w:noVBand="1" w:val="04A0"/>
        <w:tblW w:w="9863"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721"/>
        <w:gridCol w:w="2494"/>
        <w:gridCol w:w="2324"/>
        <w:gridCol w:w="2324"/>
      </w:tblGrid>
      <w:tr>
        <w:tc>
          <w:tcPr>
            <w:tcW w:type="dxa" w:w="2721"/>
            <w:tcMar>
              <w:top w:w="0" w:type="dxa"/>
              <w:left w:w="0" w:type="dxa"/>
              <w:bottom w:w="20" w:type="dxa"/>
              <w:right w:w="200" w:type="dxa"/>
            </w:tcMar>
            <w:tcBorders>
              <w:top w:val="single" w:sz="12" w:space="0" w:color="5F6B77"/>
            </w:tcBorders>
          </w:tcPr>
          <w:p>
            <w:pPr>
              <w:spacing w:before="80" w:after="0"/>
            </w:pPr>
            <w:r>
              <w:rPr>
                <w:rFonts w:ascii="Calibri" w:hAnsi="Calibri" w:eastAsia="Calibri"/>
                <w:b/>
                <w:i w:val="0"/>
                <w:caps/>
                <w:color w:val="5F6B77"/>
                <w:sz w:val="15"/>
                <w:spacing w:val="30"/>
              </w:rPr>
              <w:t>Assessed for</w:t>
            </w:r>
          </w:p>
        </w:tc>
        <w:tc>
          <w:tcPr>
            <w:tcW w:type="dxa" w:w="2494"/>
            <w:tcMar>
              <w:top w:w="0" w:type="dxa"/>
              <w:left w:w="0" w:type="dxa"/>
              <w:bottom w:w="20" w:type="dxa"/>
              <w:right w:w="200" w:type="dxa"/>
            </w:tcMar>
            <w:tcBorders>
              <w:top w:val="single" w:sz="12" w:space="0" w:color="5F6B77"/>
            </w:tcBorders>
          </w:tcPr>
          <w:p>
            <w:pPr>
              <w:spacing w:before="80" w:after="0"/>
            </w:pPr>
            <w:r>
              <w:rPr>
                <w:rFonts w:ascii="Calibri" w:hAnsi="Calibri" w:eastAsia="Calibri"/>
                <w:b/>
                <w:i w:val="0"/>
                <w:caps/>
                <w:color w:val="5F6B77"/>
                <w:sz w:val="15"/>
                <w:spacing w:val="30"/>
              </w:rPr>
              <w:t>Client</w:t>
            </w:r>
          </w:p>
        </w:tc>
        <w:tc>
          <w:tcPr>
            <w:tcW w:type="dxa" w:w="2324"/>
            <w:tcMar>
              <w:top w:w="0" w:type="dxa"/>
              <w:left w:w="0" w:type="dxa"/>
              <w:bottom w:w="20" w:type="dxa"/>
              <w:right w:w="200" w:type="dxa"/>
            </w:tcMar>
            <w:tcBorders>
              <w:top w:val="single" w:sz="12" w:space="0" w:color="5F6B77"/>
            </w:tcBorders>
          </w:tcPr>
          <w:p>
            <w:pPr>
              <w:spacing w:before="80" w:after="0"/>
            </w:pPr>
            <w:r>
              <w:rPr>
                <w:rFonts w:ascii="Calibri" w:hAnsi="Calibri" w:eastAsia="Calibri"/>
                <w:b/>
                <w:i w:val="0"/>
                <w:caps/>
                <w:color w:val="5F6B77"/>
                <w:sz w:val="15"/>
                <w:spacing w:val="30"/>
              </w:rPr>
              <w:t>Consultant</w:t>
            </w:r>
          </w:p>
        </w:tc>
        <w:tc>
          <w:tcPr>
            <w:tcW w:type="dxa" w:w="2324"/>
            <w:tcMar>
              <w:top w:w="0" w:type="dxa"/>
              <w:left w:w="0" w:type="dxa"/>
              <w:bottom w:w="20" w:type="dxa"/>
              <w:right w:w="200" w:type="dxa"/>
            </w:tcMar>
            <w:tcBorders>
              <w:top w:val="single" w:sz="12" w:space="0" w:color="5F6B77"/>
            </w:tcBorders>
          </w:tcPr>
          <w:p>
            <w:pPr>
              <w:spacing w:before="80" w:after="0"/>
            </w:pPr>
            <w:r>
              <w:rPr>
                <w:rFonts w:ascii="Calibri" w:hAnsi="Calibri" w:eastAsia="Calibri"/>
                <w:b/>
                <w:i w:val="0"/>
                <w:caps/>
                <w:color w:val="5F6B77"/>
                <w:sz w:val="15"/>
                <w:spacing w:val="30"/>
              </w:rPr>
              <w:t>Date of report</w:t>
            </w:r>
          </w:p>
        </w:tc>
      </w:tr>
      <w:tr>
        <w:tc>
          <w:tcPr>
            <w:tcW w:type="dxa" w:w="2721"/>
            <w:tcMar>
              <w:top w:w="10" w:type="dxa"/>
              <w:left w:w="0" w:type="dxa"/>
              <w:bottom w:w="60" w:type="dxa"/>
              <w:right w:w="200" w:type="dxa"/>
            </w:tcMar>
          </w:tcPr>
          <w:p>
            <w:r>
              <w:rPr>
                <w:rFonts w:ascii="Calibri" w:hAnsi="Calibri" w:eastAsia="Calibri"/>
                <w:b/>
                <w:i w:val="0"/>
                <w:color w:val="2E3338"/>
                <w:sz w:val="20"/>
              </w:rPr>
              <w:t xml:space="preserve">Chief Operating Officer</w:t>
            </w:r>
          </w:p>
        </w:tc>
        <w:tc>
          <w:tcPr>
            <w:tcW w:type="dxa" w:w="2494"/>
            <w:tcMar>
              <w:top w:w="10" w:type="dxa"/>
              <w:left w:w="0" w:type="dxa"/>
              <w:bottom w:w="60" w:type="dxa"/>
              <w:right w:w="200" w:type="dxa"/>
            </w:tcMar>
          </w:tcPr>
          <w:p>
            <w:r>
              <w:rPr>
                <w:rFonts w:ascii="Calibri" w:hAnsi="Calibri" w:eastAsia="Calibri"/>
                <w:b/>
                <w:i w:val="0"/>
                <w:color w:val="2E3338"/>
                <w:sz w:val="20"/>
              </w:rPr>
              <w:t xml:space="preserve">Halden Group</w:t>
            </w:r>
          </w:p>
        </w:tc>
        <w:tc>
          <w:tcPr>
            <w:tcW w:type="dxa" w:w="2324"/>
            <w:tcMar>
              <w:top w:w="10" w:type="dxa"/>
              <w:left w:w="0" w:type="dxa"/>
              <w:bottom w:w="60" w:type="dxa"/>
              <w:right w:w="200" w:type="dxa"/>
            </w:tcMar>
          </w:tcPr>
          <w:p>
            <w:r>
              <w:rPr>
                <w:rFonts w:ascii="Calibri" w:hAnsi="Calibri" w:eastAsia="Calibri"/>
                <w:b/>
                <w:i w:val="0"/>
                <w:color w:val="2E3338"/>
                <w:sz w:val="20"/>
              </w:rPr>
              <w:t xml:space="preserve">Priya Raman</w:t>
            </w:r>
          </w:p>
        </w:tc>
        <w:tc>
          <w:tcPr>
            <w:tcW w:type="dxa" w:w="2324"/>
            <w:tcMar>
              <w:top w:w="10" w:type="dxa"/>
              <w:left w:w="0" w:type="dxa"/>
              <w:bottom w:w="60" w:type="dxa"/>
              <w:right w:w="200" w:type="dxa"/>
            </w:tcMar>
          </w:tcPr>
          <w:p>
            <w:r>
              <w:rPr>
                <w:rFonts w:ascii="Calibri" w:hAnsi="Calibri" w:eastAsia="Calibri"/>
                <w:b/>
                <w:i w:val="0"/>
                <w:color w:val="2E3338"/>
                <w:sz w:val="20"/>
              </w:rPr>
              <w:t xml:space="preserve">18 September 2026</w:t>
            </w:r>
          </w:p>
        </w:tc>
      </w:tr>
    </w:tbl>
    <w:p>
      <w:pPr>
        <w:spacing w:before="60" w:after="0"/>
      </w:pPr>
      <w:r>
        <w:rPr>
          <w:rFonts w:ascii="Calibri" w:hAnsi="Calibri" w:eastAsia="Calibri"/>
          <w:b/>
          <w:i w:val="0"/>
          <w:color w:val="5F6B77"/>
          <w:sz w:val="17"/>
        </w:rPr>
        <w:t xml:space="preserve">Basis of assessment:  </w:t>
      </w:r>
      <w:r>
        <w:rPr>
          <w:rFonts w:ascii="Calibri" w:hAnsi="Calibri" w:eastAsia="Calibri"/>
          <w:b w:val="0"/>
          <w:i w:val="0"/>
          <w:color w:val="6B6D70"/>
          <w:sz w:val="17"/>
        </w:rPr>
        <w:t xml:space="preserve">Two structured interviews, a personality questionnaire with debrief, and three references</w:t>
      </w:r>
    </w:p>
    <w:p>
      <w:pPr>
        <w:spacing w:before="0" w:after="0" w:line="200" w:lineRule="exact"/>
      </w:pPr>
      <w:r>
        <w:rPr>
          <w:rFonts w:ascii="Calibri" w:hAnsi="Calibri" w:eastAsia="Calibri"/>
          <w:b w:val="0"/>
          <w:i w:val="0"/>
          <w:sz w:val="2"/>
        </w:rPr>
      </w:r>
    </w:p>
    <w:tbl>
      <w:tblPr>
        <w:tblLook w:firstColumn="1" w:firstRow="1" w:lastColumn="0" w:lastRow="0" w:noHBand="0" w:noVBand="1" w:val="04A0"/>
        <w:tblW w:w="9867"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38"/>
        <w:gridCol w:w="142"/>
        <w:gridCol w:w="2438"/>
        <w:gridCol w:w="142"/>
        <w:gridCol w:w="4707"/>
      </w:tblGrid>
      <w:tr>
        <w:tc>
          <w:tcPr>
            <w:shd w:val="clear" w:color="auto" w:fill="2E3338"/>
            <w:tcW w:type="dxa" w:w="2438"/>
            <w:tcMar>
              <w:top w:w="150" w:type="dxa"/>
              <w:left w:w="200" w:type="dxa"/>
              <w:bottom w:w="170" w:type="dxa"/>
              <w:right w:w="200" w:type="dxa"/>
            </w:tcMar>
            <w:vAlign w:val="top"/>
          </w:tcPr>
          <w:p>
            <w:pPr>
              <w:spacing w:before="0" w:after="60"/>
            </w:pPr>
            <w:r>
              <w:rPr>
                <w:rFonts w:ascii="Calibri" w:hAnsi="Calibri" w:eastAsia="Calibri"/>
                <w:b/>
                <w:i w:val="0"/>
                <w:caps/>
                <w:color w:val="FFFFFF"/>
                <w:sz w:val="15"/>
                <w:spacing w:val="30"/>
              </w:rPr>
              <w:t>Readiness</w:t>
            </w:r>
          </w:p>
          <w:p>
            <w:r>
              <w:rPr>
                <w:rFonts w:ascii="Cambria" w:hAnsi="Cambria" w:eastAsia="Cambria"/>
                <w:b w:val="0"/>
                <w:i w:val="0"/>
                <w:color w:val="FFFFFF"/>
                <w:sz w:val="30"/>
              </w:rPr>
              <w:t xml:space="preserve">Ready now</w:t>
            </w:r>
          </w:p>
        </w:tc>
        <w:tc>
          <w:tcPr>
            <w:tcW w:type="dxa" w:w="142"/>
          </w:tcPr>
          <w:p/>
        </w:tc>
        <w:tc>
          <w:tcPr>
            <w:tcW w:type="dxa" w:w="2438"/>
            <w:tcMar>
              <w:top w:w="150" w:type="dxa"/>
              <w:left w:w="200" w:type="dxa"/>
              <w:bottom w:w="170" w:type="dxa"/>
              <w:right w:w="200" w:type="dxa"/>
            </w:tcMar>
            <w:vAlign w:val="top"/>
            <w:shd w:val="clear" w:color="auto" w:fill="F1F2F3"/>
          </w:tcPr>
          <w:p>
            <w:pPr>
              <w:spacing w:before="0" w:after="60"/>
            </w:pPr>
            <w:r>
              <w:rPr>
                <w:rFonts w:ascii="Calibri" w:hAnsi="Calibri" w:eastAsia="Calibri"/>
                <w:b/>
                <w:i w:val="0"/>
                <w:caps/>
                <w:color w:val="5F6B77"/>
                <w:sz w:val="15"/>
                <w:spacing w:val="30"/>
              </w:rPr>
              <w:t>Overall rating</w:t>
            </w:r>
          </w:p>
          <w:p>
            <w:r>
              <w:rPr>
                <w:rFonts w:ascii="Cambria" w:hAnsi="Cambria" w:eastAsia="Cambria"/>
                <w:b w:val="0"/>
                <w:i w:val="0"/>
                <w:color w:val="2E3338"/>
                <w:sz w:val="30"/>
              </w:rPr>
              <w:t xml:space="preserve">4.1</w:t>
            </w:r>
            <w:r>
              <w:rPr>
                <w:rFonts w:ascii="Calibri" w:hAnsi="Calibri" w:eastAsia="Calibri"/>
                <w:b w:val="0"/>
                <w:i w:val="0"/>
                <w:color w:val="6B6D70"/>
                <w:sz w:val="20"/>
              </w:rPr>
              <w:t xml:space="preserve"> / 5</w:t>
            </w:r>
          </w:p>
          <w:p>
            <w:r>
              <w:rPr>
                <w:rFonts w:ascii="Calibri" w:hAnsi="Calibri" w:eastAsia="Calibri"/>
                <w:b w:val="0"/>
                <w:i w:val="0"/>
                <w:color w:val="6B6D70"/>
                <w:sz w:val="15"/>
              </w:rPr>
              <w:t xml:space="preserve">Mean of 8 rated competencies</w:t>
            </w:r>
          </w:p>
        </w:tc>
        <w:tc>
          <w:tcPr>
            <w:tcW w:type="dxa" w:w="142"/>
          </w:tcPr>
          <w:p/>
        </w:tc>
        <w:tc>
          <w:tcPr>
            <w:tcW w:type="dxa" w:w="4707"/>
            <w:tcMar>
              <w:top w:w="150" w:type="dxa"/>
              <w:left w:w="200" w:type="dxa"/>
              <w:bottom w:w="170" w:type="dxa"/>
              <w:right w:w="200" w:type="dxa"/>
            </w:tcMar>
            <w:vAlign w:val="top"/>
            <w:shd w:val="clear" w:color="auto" w:fill="F1F2F3"/>
          </w:tcPr>
          <w:p>
            <w:pPr>
              <w:spacing w:before="0" w:after="60"/>
            </w:pPr>
            <w:r>
              <w:rPr>
                <w:rFonts w:ascii="Calibri" w:hAnsi="Calibri" w:eastAsia="Calibri"/>
                <w:b/>
                <w:i w:val="0"/>
                <w:caps/>
                <w:color w:val="5F6B77"/>
                <w:sz w:val="15"/>
                <w:spacing w:val="30"/>
              </w:rPr>
              <w:t>Recommendation</w:t>
            </w:r>
          </w:p>
          <w:p>
            <w:r>
              <w:rPr>
                <w:rFonts w:ascii="Cambria" w:hAnsi="Cambria" w:eastAsia="Cambria"/>
                <w:b w:val="0"/>
                <w:i w:val="0"/>
                <w:color w:val="2E3338"/>
                <w:sz w:val="23"/>
              </w:rPr>
              <w:t xml:space="preserve">Proceed to final interview</w:t>
            </w:r>
          </w:p>
        </w:tc>
      </w:tr>
    </w:tbl>
    <w:p>
      <w:pPr>
        <w:keepNext/>
        <w:spacing w:before="280" w:after="100"/>
        <w:pBdr>
          <w:bottom w:val="single" w:sz="6" w:space="3" w:color="DFE0E1"/>
        </w:pBdr>
      </w:pPr>
      <w:r>
        <w:rPr>
          <w:rFonts w:ascii="Cambria" w:hAnsi="Cambria" w:eastAsia="Cambria"/>
          <w:b w:val="0"/>
          <w:i w:val="0"/>
          <w:color w:val="2E3338"/>
          <w:sz w:val="30"/>
        </w:rPr>
        <w:t>Executive summary</w:t>
      </w:r>
    </w:p>
    <w:p>
      <w:pPr>
        <w:spacing w:before="0" w:after="120"/>
        <w:pBdr>
          <w:left w:val="single" w:sz="18" w:space="8" w:color="5F6B77"/>
        </w:pBdr>
      </w:pPr>
      <w:r>
        <w:rPr>
          <w:rFonts w:ascii="Cambria" w:hAnsi="Cambria" w:eastAsia="Cambria"/>
          <w:b w:val="0"/>
          <w:i/>
          <w:color w:val="2E3338"/>
          <w:sz w:val="22"/>
        </w:rPr>
        <w:t xml:space="preserve">An operations leader who has run a £640m, 3,200-person logistics network and led two post-M&amp;A integrations without service loss.</w:t>
      </w:r>
    </w:p>
    <w:p>
      <w:pPr>
        <w:spacing w:before="0" w:after="40"/>
        <w:jc w:val="both"/>
      </w:pPr>
      <w:r>
        <w:rPr>
          <w:rFonts w:ascii="Calibri" w:hAnsi="Calibri" w:eastAsia="Calibri"/>
          <w:b w:val="0"/>
          <w:i w:val="0"/>
          <w:sz w:val="21"/>
        </w:rPr>
        <w:t xml:space="preserve">Eleanor is Group Operations Director of Marlow &amp; Reeve Logistics, where she runs a 3,200-strong network of 14 sites with full P&amp;L accountability for £640m of revenue. Over 19 years she has moved from site management to group roles at Brookmere Capital portfolio companies, leading two post-M&amp;A integrations and a £38m automation programme. Her strengths lie in operational discipline, building leadership benches and translating strategy into measurable delivery. The consultant's view is that she is ready for a group COO role with a strong transformation mandate.</w:t>
      </w:r>
    </w:p>
    <w:p>
      <w:pPr>
        <w:keepNext/>
        <w:spacing w:before="240" w:after="100"/>
        <w:pBdr>
          <w:bottom w:val="single" w:sz="6" w:space="3" w:color="DFE0E1"/>
        </w:pBdr>
      </w:pPr>
      <w:r>
        <w:rPr>
          <w:rFonts w:ascii="Cambria" w:hAnsi="Cambria" w:eastAsia="Cambria"/>
          <w:b w:val="0"/>
          <w:i w:val="0"/>
          <w:color w:val="2E3338"/>
          <w:sz w:val="30"/>
        </w:rPr>
        <w:t>Career overview</w:t>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665"/>
        <w:gridCol w:w="7201"/>
      </w:tblGrid>
      <w:tr>
        <w:trPr>
          <w:cantSplit/>
        </w:trPr>
        <w:tc>
          <w:tcPr>
            <w:tcW w:type="dxa" w:w="2665"/>
            <w:tcMar>
              <w:top w:w="95" w:type="dxa"/>
              <w:left w:w="0" w:type="dxa"/>
              <w:bottom w:w="95" w:type="dxa"/>
              <w:right w:w="120" w:type="dxa"/>
            </w:tcMar>
            <w:tcBorders>
              <w:bottom w:val="single" w:sz="4" w:space="0" w:color="DFE0E1"/>
            </w:tcBorders>
          </w:tcPr>
          <w:p>
            <w:r>
              <w:rPr>
                <w:rFonts w:ascii="Calibri" w:hAnsi="Calibri" w:eastAsia="Calibri"/>
                <w:b/>
                <w:i w:val="0"/>
                <w:color w:val="5F6B77"/>
                <w:sz w:val="17"/>
              </w:rPr>
              <w:t xml:space="preserve">April 2021 – Present</w:t>
            </w:r>
          </w:p>
        </w:tc>
        <w:tc>
          <w:tcPr>
            <w:tcW w:type="dxa" w:w="7201"/>
            <w:tcMar>
              <w:top w:w="95" w:type="dxa"/>
              <w:left w:w="0" w:type="dxa"/>
              <w:bottom w:w="95" w:type="dxa"/>
              <w:right w:w="0" w:type="dxa"/>
            </w:tcMar>
            <w:tcBorders>
              <w:bottom w:val="single" w:sz="4" w:space="0" w:color="DFE0E1"/>
            </w:tcBorders>
          </w:tcPr>
          <w:p>
            <w:r>
              <w:rPr>
                <w:rFonts w:ascii="Calibri" w:hAnsi="Calibri" w:eastAsia="Calibri"/>
                <w:b/>
                <w:i w:val="0"/>
                <w:color w:val="2E3338"/>
                <w:sz w:val="20"/>
              </w:rPr>
              <w:t xml:space="preserve">Group Operations Director</w:t>
            </w:r>
            <w:r>
              <w:rPr>
                <w:rFonts w:ascii="Calibri" w:hAnsi="Calibri" w:eastAsia="Calibri"/>
                <w:b w:val="0"/>
                <w:i w:val="0"/>
                <w:color w:val="2E3338"/>
                <w:sz w:val="20"/>
              </w:rPr>
              <w:t xml:space="preserve">  ·  Marlow &amp; Reeve Logistics</w:t>
            </w:r>
            <w:r>
              <w:rPr>
                <w:rFonts w:ascii="Calibri" w:hAnsi="Calibri" w:eastAsia="Calibri"/>
                <w:b w:val="0"/>
                <w:i w:val="0"/>
                <w:color w:val="6B6D70"/>
                <w:sz w:val="18"/>
              </w:rPr>
              <w:t xml:space="preserve">  ·  Leeds, UK</w:t>
            </w:r>
          </w:p>
          <w:p>
            <w:r>
              <w:rPr>
                <w:rFonts w:ascii="Calibri" w:hAnsi="Calibri" w:eastAsia="Calibri"/>
                <w:b w:val="0"/>
                <w:i w:val="0"/>
                <w:color w:val="6B6D70"/>
                <w:sz w:val="17"/>
              </w:rPr>
              <w:t xml:space="preserve">14 sites, 3,200 people, £640m revenue; full operational P&amp;L and a £38m automation programme</w:t>
            </w:r>
          </w:p>
        </w:tc>
      </w:tr>
      <w:tr>
        <w:trPr>
          <w:cantSplit/>
        </w:trPr>
        <w:tc>
          <w:tcPr>
            <w:tcW w:type="dxa" w:w="2665"/>
            <w:tcMar>
              <w:top w:w="95" w:type="dxa"/>
              <w:left w:w="0" w:type="dxa"/>
              <w:bottom w:w="95" w:type="dxa"/>
              <w:right w:w="120" w:type="dxa"/>
            </w:tcMar>
            <w:tcBorders>
              <w:bottom w:val="single" w:sz="4" w:space="0" w:color="DFE0E1"/>
            </w:tcBorders>
          </w:tcPr>
          <w:p>
            <w:r>
              <w:rPr>
                <w:rFonts w:ascii="Calibri" w:hAnsi="Calibri" w:eastAsia="Calibri"/>
                <w:b/>
                <w:i w:val="0"/>
                <w:color w:val="5F6B77"/>
                <w:sz w:val="17"/>
              </w:rPr>
              <w:t xml:space="preserve">June 2017 – March 2021</w:t>
            </w:r>
          </w:p>
        </w:tc>
        <w:tc>
          <w:tcPr>
            <w:tcW w:type="dxa" w:w="7201"/>
            <w:tcMar>
              <w:top w:w="95" w:type="dxa"/>
              <w:left w:w="0" w:type="dxa"/>
              <w:bottom w:w="95" w:type="dxa"/>
              <w:right w:w="0" w:type="dxa"/>
            </w:tcMar>
            <w:tcBorders>
              <w:bottom w:val="single" w:sz="4" w:space="0" w:color="DFE0E1"/>
            </w:tcBorders>
          </w:tcPr>
          <w:p>
            <w:r>
              <w:rPr>
                <w:rFonts w:ascii="Calibri" w:hAnsi="Calibri" w:eastAsia="Calibri"/>
                <w:b/>
                <w:i w:val="0"/>
                <w:color w:val="2E3338"/>
                <w:sz w:val="20"/>
              </w:rPr>
              <w:t xml:space="preserve">Operations Director, UK &amp; Ireland</w:t>
            </w:r>
            <w:r>
              <w:rPr>
                <w:rFonts w:ascii="Calibri" w:hAnsi="Calibri" w:eastAsia="Calibri"/>
                <w:b w:val="0"/>
                <w:i w:val="0"/>
                <w:color w:val="2E3338"/>
                <w:sz w:val="20"/>
              </w:rPr>
              <w:t xml:space="preserve">  ·  Harbourline Distribution</w:t>
            </w:r>
            <w:r>
              <w:rPr>
                <w:rFonts w:ascii="Calibri" w:hAnsi="Calibri" w:eastAsia="Calibri"/>
                <w:b w:val="0"/>
                <w:i w:val="0"/>
                <w:color w:val="6B6D70"/>
                <w:sz w:val="18"/>
              </w:rPr>
              <w:t xml:space="preserve">  ·  Manchester, UK</w:t>
            </w:r>
          </w:p>
          <w:p>
            <w:r>
              <w:rPr>
                <w:rFonts w:ascii="Calibri" w:hAnsi="Calibri" w:eastAsia="Calibri"/>
                <w:b w:val="0"/>
                <w:i w:val="0"/>
                <w:color w:val="6B6D70"/>
                <w:sz w:val="17"/>
              </w:rPr>
              <w:t xml:space="preserve">Nine sites and 1,700 people; led the integration of two acquired regional carriers</w:t>
            </w:r>
          </w:p>
        </w:tc>
      </w:tr>
      <w:tr>
        <w:trPr>
          <w:cantSplit/>
        </w:trPr>
        <w:tc>
          <w:tcPr>
            <w:tcW w:type="dxa" w:w="2665"/>
            <w:tcMar>
              <w:top w:w="95" w:type="dxa"/>
              <w:left w:w="0" w:type="dxa"/>
              <w:bottom w:w="95" w:type="dxa"/>
              <w:right w:w="120" w:type="dxa"/>
            </w:tcMar>
            <w:tcBorders>
              <w:bottom w:val="single" w:sz="4" w:space="0" w:color="DFE0E1"/>
            </w:tcBorders>
          </w:tcPr>
          <w:p>
            <w:r>
              <w:rPr>
                <w:rFonts w:ascii="Calibri" w:hAnsi="Calibri" w:eastAsia="Calibri"/>
                <w:b/>
                <w:i w:val="0"/>
                <w:color w:val="5F6B77"/>
                <w:sz w:val="17"/>
              </w:rPr>
              <w:t xml:space="preserve">January 2013 – May 2017</w:t>
            </w:r>
          </w:p>
        </w:tc>
        <w:tc>
          <w:tcPr>
            <w:tcW w:type="dxa" w:w="7201"/>
            <w:tcMar>
              <w:top w:w="95" w:type="dxa"/>
              <w:left w:w="0" w:type="dxa"/>
              <w:bottom w:w="95" w:type="dxa"/>
              <w:right w:w="0" w:type="dxa"/>
            </w:tcMar>
            <w:tcBorders>
              <w:bottom w:val="single" w:sz="4" w:space="0" w:color="DFE0E1"/>
            </w:tcBorders>
          </w:tcPr>
          <w:p>
            <w:r>
              <w:rPr>
                <w:rFonts w:ascii="Calibri" w:hAnsi="Calibri" w:eastAsia="Calibri"/>
                <w:b/>
                <w:i w:val="0"/>
                <w:color w:val="2E3338"/>
                <w:sz w:val="20"/>
              </w:rPr>
              <w:t xml:space="preserve">Head of Network Operations</w:t>
            </w:r>
            <w:r>
              <w:rPr>
                <w:rFonts w:ascii="Calibri" w:hAnsi="Calibri" w:eastAsia="Calibri"/>
                <w:b w:val="0"/>
                <w:i w:val="0"/>
                <w:color w:val="2E3338"/>
                <w:sz w:val="20"/>
              </w:rPr>
              <w:t xml:space="preserve">  ·  Kestrel Freight</w:t>
            </w:r>
            <w:r>
              <w:rPr>
                <w:rFonts w:ascii="Calibri" w:hAnsi="Calibri" w:eastAsia="Calibri"/>
                <w:b w:val="0"/>
                <w:i w:val="0"/>
                <w:color w:val="6B6D70"/>
                <w:sz w:val="18"/>
              </w:rPr>
              <w:t xml:space="preserve">  ·  Birmingham, UK</w:t>
            </w:r>
          </w:p>
          <w:p>
            <w:r>
              <w:rPr>
                <w:rFonts w:ascii="Calibri" w:hAnsi="Calibri" w:eastAsia="Calibri"/>
                <w:b w:val="0"/>
                <w:i w:val="0"/>
                <w:color w:val="6B6D70"/>
                <w:sz w:val="17"/>
              </w:rPr>
              <w:t xml:space="preserve">Brookmere Capital-backed; network redesign across 22 depots cut cost-to-serve by 11%</w:t>
            </w:r>
          </w:p>
        </w:tc>
      </w:tr>
      <w:tr>
        <w:trPr>
          <w:cantSplit/>
        </w:trPr>
        <w:tc>
          <w:tcPr>
            <w:tcW w:type="dxa" w:w="2665"/>
            <w:tcMar>
              <w:top w:w="95" w:type="dxa"/>
              <w:left w:w="0" w:type="dxa"/>
              <w:bottom w:w="95" w:type="dxa"/>
              <w:right w:w="120" w:type="dxa"/>
            </w:tcMar>
            <w:tcBorders>
              <w:bottom w:val="single" w:sz="4" w:space="0" w:color="DFE0E1"/>
            </w:tcBorders>
          </w:tcPr>
          <w:p>
            <w:r>
              <w:rPr>
                <w:rFonts w:ascii="Calibri" w:hAnsi="Calibri" w:eastAsia="Calibri"/>
                <w:b/>
                <w:i w:val="0"/>
                <w:color w:val="5F6B77"/>
                <w:sz w:val="17"/>
              </w:rPr>
              <w:t xml:space="preserve">September 2008 – December 2012</w:t>
            </w:r>
          </w:p>
        </w:tc>
        <w:tc>
          <w:tcPr>
            <w:tcW w:type="dxa" w:w="7201"/>
            <w:tcMar>
              <w:top w:w="95" w:type="dxa"/>
              <w:left w:w="0" w:type="dxa"/>
              <w:bottom w:w="95" w:type="dxa"/>
              <w:right w:w="0" w:type="dxa"/>
            </w:tcMar>
            <w:tcBorders>
              <w:bottom w:val="single" w:sz="4" w:space="0" w:color="DFE0E1"/>
            </w:tcBorders>
          </w:tcPr>
          <w:p>
            <w:r>
              <w:rPr>
                <w:rFonts w:ascii="Calibri" w:hAnsi="Calibri" w:eastAsia="Calibri"/>
                <w:b/>
                <w:i w:val="0"/>
                <w:color w:val="2E3338"/>
                <w:sz w:val="20"/>
              </w:rPr>
              <w:t xml:space="preserve">Regional Operations Manager</w:t>
            </w:r>
            <w:r>
              <w:rPr>
                <w:rFonts w:ascii="Calibri" w:hAnsi="Calibri" w:eastAsia="Calibri"/>
                <w:b w:val="0"/>
                <w:i w:val="0"/>
                <w:color w:val="2E3338"/>
                <w:sz w:val="20"/>
              </w:rPr>
              <w:t xml:space="preserve">  ·  Kestrel Freight</w:t>
            </w:r>
            <w:r>
              <w:rPr>
                <w:rFonts w:ascii="Calibri" w:hAnsi="Calibri" w:eastAsia="Calibri"/>
                <w:b w:val="0"/>
                <w:i w:val="0"/>
                <w:color w:val="6B6D70"/>
                <w:sz w:val="18"/>
              </w:rPr>
              <w:t xml:space="preserve">  ·  Birmingham, UK</w:t>
            </w:r>
          </w:p>
          <w:p>
            <w:r>
              <w:rPr>
                <w:rFonts w:ascii="Calibri" w:hAnsi="Calibri" w:eastAsia="Calibri"/>
                <w:b w:val="0"/>
                <w:i w:val="0"/>
                <w:color w:val="6B6D70"/>
                <w:sz w:val="17"/>
              </w:rPr>
              <w:t xml:space="preserve">Five depots and 600 people in the Midlands region</w:t>
            </w:r>
          </w:p>
        </w:tc>
      </w:tr>
      <w:tr>
        <w:trPr>
          <w:cantSplit/>
        </w:trPr>
        <w:tc>
          <w:tcPr>
            <w:tcW w:type="dxa" w:w="2665"/>
            <w:tcMar>
              <w:top w:w="95" w:type="dxa"/>
              <w:left w:w="0" w:type="dxa"/>
              <w:bottom w:w="95" w:type="dxa"/>
              <w:right w:w="120" w:type="dxa"/>
            </w:tcMar>
            <w:tcBorders>
              <w:bottom w:val="single" w:sz="4" w:space="0" w:color="DFE0E1"/>
            </w:tcBorders>
          </w:tcPr>
          <w:p>
            <w:r>
              <w:rPr>
                <w:rFonts w:ascii="Calibri" w:hAnsi="Calibri" w:eastAsia="Calibri"/>
                <w:b/>
                <w:i w:val="0"/>
                <w:color w:val="5F6B77"/>
                <w:sz w:val="17"/>
              </w:rPr>
              <w:t xml:space="preserve">August 2006 – August 2008</w:t>
            </w:r>
          </w:p>
        </w:tc>
        <w:tc>
          <w:tcPr>
            <w:tcW w:type="dxa" w:w="7201"/>
            <w:tcMar>
              <w:top w:w="95" w:type="dxa"/>
              <w:left w:w="0" w:type="dxa"/>
              <w:bottom w:w="95" w:type="dxa"/>
              <w:right w:w="0" w:type="dxa"/>
            </w:tcMar>
            <w:tcBorders>
              <w:bottom w:val="single" w:sz="4" w:space="0" w:color="DFE0E1"/>
            </w:tcBorders>
          </w:tcPr>
          <w:p>
            <w:r>
              <w:rPr>
                <w:rFonts w:ascii="Calibri" w:hAnsi="Calibri" w:eastAsia="Calibri"/>
                <w:b/>
                <w:i w:val="0"/>
                <w:color w:val="2E3338"/>
                <w:sz w:val="20"/>
              </w:rPr>
              <w:t xml:space="preserve">Site Manager</w:t>
            </w:r>
            <w:r>
              <w:rPr>
                <w:rFonts w:ascii="Calibri" w:hAnsi="Calibri" w:eastAsia="Calibri"/>
                <w:b w:val="0"/>
                <w:i w:val="0"/>
                <w:color w:val="2E3338"/>
                <w:sz w:val="20"/>
              </w:rPr>
              <w:t xml:space="preserve">  ·  Brightwater Retail Supply</w:t>
            </w:r>
            <w:r>
              <w:rPr>
                <w:rFonts w:ascii="Calibri" w:hAnsi="Calibri" w:eastAsia="Calibri"/>
                <w:b w:val="0"/>
                <w:i w:val="0"/>
                <w:color w:val="6B6D70"/>
                <w:sz w:val="18"/>
              </w:rPr>
              <w:t xml:space="preserve">  ·  Coventry, UK</w:t>
            </w:r>
          </w:p>
          <w:p>
            <w:r>
              <w:rPr>
                <w:rFonts w:ascii="Calibri" w:hAnsi="Calibri" w:eastAsia="Calibri"/>
                <w:b w:val="0"/>
                <w:i w:val="0"/>
                <w:color w:val="6B6D70"/>
                <w:sz w:val="17"/>
              </w:rPr>
              <w:t xml:space="preserve">Single 400,000 sq ft distribution centre, 280 people</w:t>
            </w:r>
          </w:p>
        </w:tc>
      </w:tr>
      <w:tr>
        <w:trPr>
          <w:cantSplit/>
        </w:trPr>
        <w:tc>
          <w:tcPr>
            <w:tcW w:type="dxa" w:w="2665"/>
            <w:tcMar>
              <w:top w:w="95" w:type="dxa"/>
              <w:left w:w="0" w:type="dxa"/>
              <w:bottom w:w="95" w:type="dxa"/>
              <w:right w:w="120" w:type="dxa"/>
            </w:tcMar>
            <w:tcBorders>
              <w:bottom w:val="single" w:sz="4" w:space="0" w:color="DFE0E1"/>
            </w:tcBorders>
          </w:tcPr>
          <w:p>
            <w:r>
              <w:rPr>
                <w:rFonts w:ascii="Calibri" w:hAnsi="Calibri" w:eastAsia="Calibri"/>
                <w:b/>
                <w:i w:val="0"/>
                <w:color w:val="5F6B77"/>
                <w:sz w:val="17"/>
              </w:rPr>
              <w:t xml:space="preserve">September 2004 – July 2006</w:t>
            </w:r>
          </w:p>
        </w:tc>
        <w:tc>
          <w:tcPr>
            <w:tcW w:type="dxa" w:w="7201"/>
            <w:tcMar>
              <w:top w:w="95" w:type="dxa"/>
              <w:left w:w="0" w:type="dxa"/>
              <w:bottom w:w="95" w:type="dxa"/>
              <w:right w:w="0" w:type="dxa"/>
            </w:tcMar>
            <w:tcBorders>
              <w:bottom w:val="single" w:sz="4" w:space="0" w:color="DFE0E1"/>
            </w:tcBorders>
          </w:tcPr>
          <w:p>
            <w:r>
              <w:rPr>
                <w:rFonts w:ascii="Calibri" w:hAnsi="Calibri" w:eastAsia="Calibri"/>
                <w:b/>
                <w:i w:val="0"/>
                <w:color w:val="2E3338"/>
                <w:sz w:val="20"/>
              </w:rPr>
              <w:t xml:space="preserve">Graduate Operations Trainee</w:t>
            </w:r>
            <w:r>
              <w:rPr>
                <w:rFonts w:ascii="Calibri" w:hAnsi="Calibri" w:eastAsia="Calibri"/>
                <w:b w:val="0"/>
                <w:i w:val="0"/>
                <w:color w:val="2E3338"/>
                <w:sz w:val="20"/>
              </w:rPr>
              <w:t xml:space="preserve">  ·  Brightwater Retail Supply</w:t>
            </w:r>
            <w:r>
              <w:rPr>
                <w:rFonts w:ascii="Calibri" w:hAnsi="Calibri" w:eastAsia="Calibri"/>
                <w:b w:val="0"/>
                <w:i w:val="0"/>
                <w:color w:val="6B6D70"/>
                <w:sz w:val="18"/>
              </w:rPr>
              <w:t xml:space="preserve">  ·  Coventry, UK</w:t>
            </w:r>
          </w:p>
          <w:p>
            <w:r>
              <w:rPr>
                <w:rFonts w:ascii="Calibri" w:hAnsi="Calibri" w:eastAsia="Calibri"/>
                <w:b w:val="0"/>
                <w:i w:val="0"/>
                <w:color w:val="6B6D70"/>
                <w:sz w:val="17"/>
              </w:rPr>
              <w:t xml:space="preserve">Rotations across transport planning, warehousing and inventory control</w:t>
            </w:r>
          </w:p>
        </w:tc>
      </w:tr>
    </w:tbl>
    <w:p>
      <w:pPr>
        <w:spacing w:before="120" w:after="0"/>
      </w:pPr>
      <w:r>
        <w:rPr>
          <w:rFonts w:ascii="Calibri" w:hAnsi="Calibri" w:eastAsia="Calibri"/>
          <w:b/>
          <w:i w:val="0"/>
          <w:color w:val="5F6B77"/>
          <w:sz w:val="17"/>
        </w:rPr>
        <w:t xml:space="preserve">Education  </w:t>
      </w:r>
      <w:r>
        <w:rPr>
          <w:rFonts w:ascii="Calibri" w:hAnsi="Calibri" w:eastAsia="Calibri"/>
          <w:b w:val="0"/>
          <w:i w:val="0"/>
          <w:sz w:val="19"/>
        </w:rPr>
        <w:t xml:space="preserve">MBA, Warwick Business School (2012)</w:t>
      </w:r>
    </w:p>
    <w:p>
      <w:pPr>
        <w:keepNext/>
        <w:pageBreakBefore/>
        <w:spacing w:before="0" w:after="40"/>
      </w:pPr>
      <w:r>
        <w:rPr>
          <w:rFonts w:ascii="Cambria" w:hAnsi="Cambria" w:eastAsia="Cambria"/>
          <w:b w:val="0"/>
          <w:i w:val="0"/>
          <w:color w:val="2E3338"/>
          <w:sz w:val="30"/>
        </w:rPr>
        <w:t>Competency assessment</w:t>
      </w:r>
    </w:p>
    <w:p>
      <w:pPr>
        <w:keepNext/>
        <w:spacing w:before="0" w:after="120"/>
        <w:pBdr>
          <w:bottom w:val="single" w:sz="6" w:space="4" w:color="DFE0E1"/>
        </w:pBdr>
      </w:pPr>
      <w:r>
        <w:rPr>
          <w:rFonts w:ascii="Calibri" w:hAnsi="Calibri" w:eastAsia="Calibri"/>
          <w:b w:val="0"/>
          <w:i w:val="0"/>
          <w:color w:val="6B6D70"/>
          <w:sz w:val="17"/>
        </w:rPr>
        <w:t>Rated 1-5 against the role's success profile, in half points. 3 = fully meets what the role requires.</w:t>
      </w:r>
    </w:p>
    <w:tbl>
      <w:tblPr>
        <w:tblLook w:firstColumn="1" w:firstRow="1" w:lastColumn="0" w:lastRow="0" w:noHBand="0" w:noVBand="1" w:val="04A0"/>
        <w:tblW w:w="9861"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175"/>
        <w:gridCol w:w="351"/>
        <w:gridCol w:w="351"/>
        <w:gridCol w:w="351"/>
        <w:gridCol w:w="351"/>
        <w:gridCol w:w="351"/>
        <w:gridCol w:w="351"/>
        <w:gridCol w:w="351"/>
        <w:gridCol w:w="351"/>
        <w:gridCol w:w="351"/>
        <w:gridCol w:w="351"/>
        <w:gridCol w:w="255"/>
        <w:gridCol w:w="2921"/>
      </w:tblGrid>
      <w:tr>
        <w:tc>
          <w:tcPr>
            <w:tcW w:type="dxa" w:w="3175"/>
            <w:tcMar>
              <w:top w:w="0" w:type="dxa"/>
              <w:left w:w="0" w:type="dxa"/>
              <w:bottom w:w="40" w:type="dxa"/>
              <w:right w:w="0" w:type="dxa"/>
            </w:tcMar>
          </w:tcPr>
          <w:p>
            <w:r>
              <w:rPr>
                <w:rFonts w:ascii="Calibri" w:hAnsi="Calibri" w:eastAsia="Calibri"/>
                <w:b/>
                <w:i w:val="0"/>
                <w:caps/>
                <w:color w:val="5F6B77"/>
                <w:sz w:val="15"/>
                <w:spacing w:val="20"/>
              </w:rPr>
              <w:t>Competency</w:t>
            </w:r>
          </w:p>
        </w:tc>
        <w:tc>
          <w:tcPr>
            <w:tcW w:type="dxa" w:w="702"/>
            <w:gridSpan w:val="2"/>
            <w:tcMar>
              <w:top w:w="0" w:type="dxa"/>
              <w:left w:w="0" w:type="dxa"/>
              <w:bottom w:w="40" w:type="dxa"/>
              <w:right w:w="40" w:type="dxa"/>
            </w:tcMar>
          </w:tcPr>
          <w:p>
            <w:pPr>
              <w:jc w:val="right"/>
            </w:pPr>
            <w:r>
              <w:rPr>
                <w:rFonts w:ascii="Calibri" w:hAnsi="Calibri" w:eastAsia="Calibri"/>
                <w:b/>
                <w:i w:val="0"/>
                <w:color w:val="6B6D70"/>
                <w:sz w:val="15"/>
              </w:rPr>
              <w:t>1</w:t>
            </w:r>
          </w:p>
        </w:tc>
        <w:tc>
          <w:tcPr>
            <w:tcW w:type="dxa" w:w="702"/>
            <w:gridSpan w:val="2"/>
            <w:tcMar>
              <w:top w:w="0" w:type="dxa"/>
              <w:left w:w="0" w:type="dxa"/>
              <w:bottom w:w="40" w:type="dxa"/>
              <w:right w:w="40" w:type="dxa"/>
            </w:tcMar>
          </w:tcPr>
          <w:p>
            <w:pPr>
              <w:jc w:val="right"/>
            </w:pPr>
            <w:r>
              <w:rPr>
                <w:rFonts w:ascii="Calibri" w:hAnsi="Calibri" w:eastAsia="Calibri"/>
                <w:b/>
                <w:i w:val="0"/>
                <w:color w:val="6B6D70"/>
                <w:sz w:val="15"/>
              </w:rPr>
              <w:t>2</w:t>
            </w:r>
          </w:p>
        </w:tc>
        <w:tc>
          <w:tcPr>
            <w:tcW w:type="dxa" w:w="702"/>
            <w:gridSpan w:val="2"/>
            <w:tcMar>
              <w:top w:w="0" w:type="dxa"/>
              <w:left w:w="0" w:type="dxa"/>
              <w:bottom w:w="40" w:type="dxa"/>
              <w:right w:w="40" w:type="dxa"/>
            </w:tcMar>
          </w:tcPr>
          <w:p>
            <w:pPr>
              <w:jc w:val="right"/>
            </w:pPr>
            <w:r>
              <w:rPr>
                <w:rFonts w:ascii="Calibri" w:hAnsi="Calibri" w:eastAsia="Calibri"/>
                <w:b/>
                <w:i w:val="0"/>
                <w:color w:val="6B6D70"/>
                <w:sz w:val="15"/>
              </w:rPr>
              <w:t>3</w:t>
            </w:r>
          </w:p>
        </w:tc>
        <w:tc>
          <w:tcPr>
            <w:tcW w:type="dxa" w:w="702"/>
            <w:gridSpan w:val="2"/>
            <w:tcMar>
              <w:top w:w="0" w:type="dxa"/>
              <w:left w:w="0" w:type="dxa"/>
              <w:bottom w:w="40" w:type="dxa"/>
              <w:right w:w="40" w:type="dxa"/>
            </w:tcMar>
          </w:tcPr>
          <w:p>
            <w:pPr>
              <w:jc w:val="right"/>
            </w:pPr>
            <w:r>
              <w:rPr>
                <w:rFonts w:ascii="Calibri" w:hAnsi="Calibri" w:eastAsia="Calibri"/>
                <w:b/>
                <w:i w:val="0"/>
                <w:color w:val="6B6D70"/>
                <w:sz w:val="15"/>
              </w:rPr>
              <w:t>4</w:t>
            </w:r>
          </w:p>
        </w:tc>
        <w:tc>
          <w:tcPr>
            <w:tcW w:type="dxa" w:w="702"/>
            <w:gridSpan w:val="2"/>
            <w:tcMar>
              <w:top w:w="0" w:type="dxa"/>
              <w:left w:w="0" w:type="dxa"/>
              <w:bottom w:w="40" w:type="dxa"/>
              <w:right w:w="40" w:type="dxa"/>
            </w:tcMar>
          </w:tcPr>
          <w:p>
            <w:pPr>
              <w:jc w:val="right"/>
            </w:pPr>
            <w:r>
              <w:rPr>
                <w:rFonts w:ascii="Calibri" w:hAnsi="Calibri" w:eastAsia="Calibri"/>
                <w:b/>
                <w:i w:val="0"/>
                <w:color w:val="6B6D70"/>
                <w:sz w:val="15"/>
              </w:rPr>
              <w:t>5</w:t>
            </w:r>
          </w:p>
        </w:tc>
        <w:tc>
          <w:tcPr>
            <w:tcW w:type="dxa" w:w="255"/>
          </w:tcPr>
          <w:p/>
        </w:tc>
        <w:tc>
          <w:tcPr>
            <w:tcW w:type="dxa" w:w="2921"/>
          </w:tcPr>
          <w:p>
            <w:r>
              <w:rPr>
                <w:rFonts w:ascii="Calibri" w:hAnsi="Calibri" w:eastAsia="Calibri"/>
                <w:b/>
                <w:i w:val="0"/>
                <w:caps/>
                <w:color w:val="5F6B77"/>
                <w:sz w:val="15"/>
                <w:spacing w:val="20"/>
              </w:rPr>
              <w:t>Rating</w:t>
            </w:r>
          </w:p>
        </w:tc>
      </w:tr>
      <w:tr>
        <w:trPr>
          <w:trHeight w:val="317" w:hRule="atLeast"/>
          <w:cantSplit/>
        </w:trPr>
        <w:tc>
          <w:tcPr>
            <w:tcW w:type="dxa" w:w="3175"/>
            <w:vAlign w:val="center"/>
          </w:tcPr>
          <w:p>
            <w:r>
              <w:rPr>
                <w:rFonts w:ascii="Calibri" w:hAnsi="Calibri" w:eastAsia="Calibri"/>
                <w:b/>
                <w:i w:val="0"/>
                <w:color w:val="2E3338"/>
                <w:sz w:val="19"/>
              </w:rPr>
              <w:t xml:space="preserve">Strategic Leadership</w:t>
            </w: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DFE0E1"/>
            <w:tcW w:type="dxa" w:w="351"/>
            <w:tcBorders>
              <w:top w:val="single" w:sz="24" w:space="0" w:color="FFFFFF"/>
              <w:left w:val="single" w:sz="12" w:space="0" w:color="FFFFFF"/>
              <w:bottom w:val="single" w:sz="24" w:space="0" w:color="FFFFFF"/>
            </w:tcBorders>
          </w:tcPr>
          <w:p/>
        </w:tc>
        <w:tc>
          <w:tcPr>
            <w:shd w:val="clear" w:color="auto" w:fill="DFE0E1"/>
            <w:tcW w:type="dxa" w:w="351"/>
            <w:tcBorders>
              <w:top w:val="single" w:sz="24" w:space="0" w:color="FFFFFF"/>
              <w:bottom w:val="single" w:sz="24" w:space="0" w:color="FFFFFF"/>
              <w:right w:val="single" w:sz="12" w:space="0" w:color="FFFFFF"/>
            </w:tcBorders>
          </w:tcPr>
          <w:p/>
        </w:tc>
        <w:tc>
          <w:tcPr>
            <w:tcW w:type="dxa" w:w="255"/>
          </w:tcPr>
          <w:p/>
        </w:tc>
        <w:tc>
          <w:tcPr>
            <w:tcW w:type="dxa" w:w="2921"/>
            <w:vAlign w:val="center"/>
          </w:tcPr>
          <w:p>
            <w:r>
              <w:rPr>
                <w:rFonts w:ascii="Calibri" w:hAnsi="Calibri" w:eastAsia="Calibri"/>
                <w:b/>
                <w:i w:val="0"/>
                <w:color w:val="2E3338"/>
                <w:sz w:val="19"/>
              </w:rPr>
              <w:t xml:space="preserve">4</w:t>
            </w:r>
            <w:r>
              <w:rPr>
                <w:rFonts w:ascii="Calibri" w:hAnsi="Calibri" w:eastAsia="Calibri"/>
                <w:b w:val="0"/>
                <w:i w:val="0"/>
                <w:color w:val="6B6D70"/>
                <w:sz w:val="17"/>
              </w:rPr>
              <w:t xml:space="preserve"> / 5  ·  Strong</w:t>
            </w:r>
          </w:p>
        </w:tc>
      </w:tr>
      <w:tr>
        <w:trPr>
          <w:cantSplit/>
        </w:trPr>
        <w:tc>
          <w:tcPr>
            <w:tcW w:type="dxa" w:w="9861"/>
            <w:gridSpan w:val="13"/>
            <w:tcMar>
              <w:top w:w="0" w:type="dxa"/>
              <w:left w:w="0" w:type="dxa"/>
              <w:bottom w:w="100" w:type="dxa"/>
              <w:right w:w="0" w:type="dxa"/>
            </w:tcMar>
            <w:tcBorders>
              <w:bottom w:val="single" w:sz="4" w:space="0" w:color="DFE0E1"/>
            </w:tcBorders>
          </w:tcPr>
          <w:p>
            <w:r>
              <w:rPr>
                <w:rFonts w:ascii="Calibri" w:hAnsi="Calibri" w:eastAsia="Calibri"/>
                <w:b w:val="0"/>
                <w:i w:val="0"/>
                <w:color w:val="6B6D70"/>
                <w:sz w:val="17"/>
              </w:rPr>
              <w:t xml:space="preserve">Set and delivered a five-year network strategy; articulates trade-offs clearly to a board audience.</w:t>
            </w:r>
          </w:p>
        </w:tc>
      </w:tr>
      <w:tr>
        <w:trPr>
          <w:trHeight w:val="317" w:hRule="atLeast"/>
          <w:cantSplit/>
        </w:trPr>
        <w:tc>
          <w:tcPr>
            <w:tcW w:type="dxa" w:w="3175"/>
            <w:vAlign w:val="center"/>
          </w:tcPr>
          <w:p>
            <w:r>
              <w:rPr>
                <w:rFonts w:ascii="Calibri" w:hAnsi="Calibri" w:eastAsia="Calibri"/>
                <w:b/>
                <w:i w:val="0"/>
                <w:color w:val="2E3338"/>
                <w:sz w:val="19"/>
              </w:rPr>
              <w:t xml:space="preserve">Commercial Acumen</w:t>
            </w: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DFE0E1"/>
            <w:tcW w:type="dxa" w:w="351"/>
            <w:tcBorders>
              <w:top w:val="single" w:sz="24" w:space="0" w:color="FFFFFF"/>
              <w:bottom w:val="single" w:sz="24" w:space="0" w:color="FFFFFF"/>
              <w:right w:val="single" w:sz="12" w:space="0" w:color="FFFFFF"/>
            </w:tcBorders>
          </w:tcPr>
          <w:p/>
        </w:tc>
        <w:tc>
          <w:tcPr>
            <w:shd w:val="clear" w:color="auto" w:fill="DFE0E1"/>
            <w:tcW w:type="dxa" w:w="351"/>
            <w:tcBorders>
              <w:top w:val="single" w:sz="24" w:space="0" w:color="FFFFFF"/>
              <w:left w:val="single" w:sz="12" w:space="0" w:color="FFFFFF"/>
              <w:bottom w:val="single" w:sz="24" w:space="0" w:color="FFFFFF"/>
            </w:tcBorders>
          </w:tcPr>
          <w:p/>
        </w:tc>
        <w:tc>
          <w:tcPr>
            <w:shd w:val="clear" w:color="auto" w:fill="DFE0E1"/>
            <w:tcW w:type="dxa" w:w="351"/>
            <w:tcBorders>
              <w:top w:val="single" w:sz="24" w:space="0" w:color="FFFFFF"/>
              <w:bottom w:val="single" w:sz="24" w:space="0" w:color="FFFFFF"/>
              <w:right w:val="single" w:sz="12" w:space="0" w:color="FFFFFF"/>
            </w:tcBorders>
          </w:tcPr>
          <w:p/>
        </w:tc>
        <w:tc>
          <w:tcPr>
            <w:tcW w:type="dxa" w:w="255"/>
          </w:tcPr>
          <w:p/>
        </w:tc>
        <w:tc>
          <w:tcPr>
            <w:tcW w:type="dxa" w:w="2921"/>
            <w:vAlign w:val="center"/>
          </w:tcPr>
          <w:p>
            <w:r>
              <w:rPr>
                <w:rFonts w:ascii="Calibri" w:hAnsi="Calibri" w:eastAsia="Calibri"/>
                <w:b/>
                <w:i w:val="0"/>
                <w:color w:val="2E3338"/>
                <w:sz w:val="19"/>
              </w:rPr>
              <w:t xml:space="preserve">3.5</w:t>
            </w:r>
            <w:r>
              <w:rPr>
                <w:rFonts w:ascii="Calibri" w:hAnsi="Calibri" w:eastAsia="Calibri"/>
                <w:b w:val="0"/>
                <w:i w:val="0"/>
                <w:color w:val="6B6D70"/>
                <w:sz w:val="17"/>
              </w:rPr>
              <w:t xml:space="preserve"> / 5  ·  Meets the role</w:t>
            </w:r>
          </w:p>
        </w:tc>
      </w:tr>
      <w:tr>
        <w:trPr>
          <w:cantSplit/>
        </w:trPr>
        <w:tc>
          <w:tcPr>
            <w:tcW w:type="dxa" w:w="9861"/>
            <w:gridSpan w:val="13"/>
            <w:tcMar>
              <w:top w:w="0" w:type="dxa"/>
              <w:left w:w="0" w:type="dxa"/>
              <w:bottom w:w="100" w:type="dxa"/>
              <w:right w:w="0" w:type="dxa"/>
            </w:tcMar>
            <w:tcBorders>
              <w:bottom w:val="single" w:sz="4" w:space="0" w:color="DFE0E1"/>
            </w:tcBorders>
          </w:tcPr>
          <w:p>
            <w:r>
              <w:rPr>
                <w:rFonts w:ascii="Calibri" w:hAnsi="Calibri" w:eastAsia="Calibri"/>
                <w:b w:val="0"/>
                <w:i w:val="0"/>
                <w:color w:val="6B6D70"/>
                <w:sz w:val="17"/>
              </w:rPr>
              <w:t xml:space="preserve">Strong on cost-to-serve and margin; less exposure to pricing and customer-contract negotiation.</w:t>
            </w:r>
          </w:p>
        </w:tc>
      </w:tr>
      <w:tr>
        <w:trPr>
          <w:trHeight w:val="317" w:hRule="atLeast"/>
          <w:cantSplit/>
        </w:trPr>
        <w:tc>
          <w:tcPr>
            <w:tcW w:type="dxa" w:w="3175"/>
            <w:vAlign w:val="center"/>
          </w:tcPr>
          <w:p>
            <w:r>
              <w:rPr>
                <w:rFonts w:ascii="Calibri" w:hAnsi="Calibri" w:eastAsia="Calibri"/>
                <w:b/>
                <w:i w:val="0"/>
                <w:color w:val="2E3338"/>
                <w:sz w:val="19"/>
              </w:rPr>
              <w:t xml:space="preserve">Leading Change</w:t>
            </w: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DFE0E1"/>
            <w:tcW w:type="dxa" w:w="351"/>
            <w:tcBorders>
              <w:top w:val="single" w:sz="24" w:space="0" w:color="FFFFFF"/>
              <w:bottom w:val="single" w:sz="24" w:space="0" w:color="FFFFFF"/>
              <w:right w:val="single" w:sz="12" w:space="0" w:color="FFFFFF"/>
            </w:tcBorders>
          </w:tcPr>
          <w:p/>
        </w:tc>
        <w:tc>
          <w:tcPr>
            <w:tcW w:type="dxa" w:w="255"/>
          </w:tcPr>
          <w:p/>
        </w:tc>
        <w:tc>
          <w:tcPr>
            <w:tcW w:type="dxa" w:w="2921"/>
            <w:vAlign w:val="center"/>
          </w:tcPr>
          <w:p>
            <w:r>
              <w:rPr>
                <w:rFonts w:ascii="Calibri" w:hAnsi="Calibri" w:eastAsia="Calibri"/>
                <w:b/>
                <w:i w:val="0"/>
                <w:color w:val="2E3338"/>
                <w:sz w:val="19"/>
              </w:rPr>
              <w:t xml:space="preserve">4.5</w:t>
            </w:r>
            <w:r>
              <w:rPr>
                <w:rFonts w:ascii="Calibri" w:hAnsi="Calibri" w:eastAsia="Calibri"/>
                <w:b w:val="0"/>
                <w:i w:val="0"/>
                <w:color w:val="6B6D70"/>
                <w:sz w:val="17"/>
              </w:rPr>
              <w:t xml:space="preserve"> / 5  ·  Strong</w:t>
            </w:r>
          </w:p>
        </w:tc>
      </w:tr>
      <w:tr>
        <w:trPr>
          <w:cantSplit/>
        </w:trPr>
        <w:tc>
          <w:tcPr>
            <w:tcW w:type="dxa" w:w="9861"/>
            <w:gridSpan w:val="13"/>
            <w:tcMar>
              <w:top w:w="0" w:type="dxa"/>
              <w:left w:w="0" w:type="dxa"/>
              <w:bottom w:w="100" w:type="dxa"/>
              <w:right w:w="0" w:type="dxa"/>
            </w:tcMar>
            <w:tcBorders>
              <w:bottom w:val="single" w:sz="4" w:space="0" w:color="DFE0E1"/>
            </w:tcBorders>
          </w:tcPr>
          <w:p>
            <w:r>
              <w:rPr>
                <w:rFonts w:ascii="Calibri" w:hAnsi="Calibri" w:eastAsia="Calibri"/>
                <w:b w:val="0"/>
                <w:i w:val="0"/>
                <w:color w:val="6B6D70"/>
                <w:sz w:val="17"/>
              </w:rPr>
              <w:t xml:space="preserve">Led two post-M&amp;A integrations and a £38m automation programme with no loss of service levels.</w:t>
            </w:r>
          </w:p>
        </w:tc>
      </w:tr>
      <w:tr>
        <w:trPr>
          <w:trHeight w:val="317" w:hRule="atLeast"/>
          <w:cantSplit/>
        </w:trPr>
        <w:tc>
          <w:tcPr>
            <w:tcW w:type="dxa" w:w="3175"/>
            <w:vAlign w:val="center"/>
          </w:tcPr>
          <w:p>
            <w:r>
              <w:rPr>
                <w:rFonts w:ascii="Calibri" w:hAnsi="Calibri" w:eastAsia="Calibri"/>
                <w:b/>
                <w:i w:val="0"/>
                <w:color w:val="2E3338"/>
                <w:sz w:val="19"/>
              </w:rPr>
              <w:t xml:space="preserve">People Leadership</w:t>
            </w: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DFE0E1"/>
            <w:tcW w:type="dxa" w:w="351"/>
            <w:tcBorders>
              <w:top w:val="single" w:sz="24" w:space="0" w:color="FFFFFF"/>
              <w:bottom w:val="single" w:sz="24" w:space="0" w:color="FFFFFF"/>
              <w:right w:val="single" w:sz="12" w:space="0" w:color="FFFFFF"/>
            </w:tcBorders>
          </w:tcPr>
          <w:p/>
        </w:tc>
        <w:tc>
          <w:tcPr>
            <w:tcW w:type="dxa" w:w="255"/>
          </w:tcPr>
          <w:p/>
        </w:tc>
        <w:tc>
          <w:tcPr>
            <w:tcW w:type="dxa" w:w="2921"/>
            <w:vAlign w:val="center"/>
          </w:tcPr>
          <w:p>
            <w:r>
              <w:rPr>
                <w:rFonts w:ascii="Calibri" w:hAnsi="Calibri" w:eastAsia="Calibri"/>
                <w:b/>
                <w:i w:val="0"/>
                <w:color w:val="2E3338"/>
                <w:sz w:val="19"/>
              </w:rPr>
              <w:t xml:space="preserve">4.5</w:t>
            </w:r>
            <w:r>
              <w:rPr>
                <w:rFonts w:ascii="Calibri" w:hAnsi="Calibri" w:eastAsia="Calibri"/>
                <w:b w:val="0"/>
                <w:i w:val="0"/>
                <w:color w:val="6B6D70"/>
                <w:sz w:val="17"/>
              </w:rPr>
              <w:t xml:space="preserve"> / 5  ·  Strong</w:t>
            </w:r>
          </w:p>
        </w:tc>
      </w:tr>
      <w:tr>
        <w:trPr>
          <w:cantSplit/>
        </w:trPr>
        <w:tc>
          <w:tcPr>
            <w:tcW w:type="dxa" w:w="9861"/>
            <w:gridSpan w:val="13"/>
            <w:tcMar>
              <w:top w:w="0" w:type="dxa"/>
              <w:left w:w="0" w:type="dxa"/>
              <w:bottom w:w="100" w:type="dxa"/>
              <w:right w:w="0" w:type="dxa"/>
            </w:tcMar>
            <w:tcBorders>
              <w:bottom w:val="single" w:sz="4" w:space="0" w:color="DFE0E1"/>
            </w:tcBorders>
          </w:tcPr>
          <w:p>
            <w:r>
              <w:rPr>
                <w:rFonts w:ascii="Calibri" w:hAnsi="Calibri" w:eastAsia="Calibri"/>
                <w:b w:val="0"/>
                <w:i w:val="0"/>
                <w:color w:val="6B6D70"/>
                <w:sz w:val="17"/>
              </w:rPr>
              <w:t xml:space="preserve">Built a bench of six site leaders, two now promoted to regional roles; references describe her as demanding and fair.</w:t>
            </w:r>
          </w:p>
        </w:tc>
      </w:tr>
      <w:tr>
        <w:trPr>
          <w:trHeight w:val="317" w:hRule="atLeast"/>
          <w:cantSplit/>
        </w:trPr>
        <w:tc>
          <w:tcPr>
            <w:tcW w:type="dxa" w:w="3175"/>
            <w:vAlign w:val="center"/>
          </w:tcPr>
          <w:p>
            <w:r>
              <w:rPr>
                <w:rFonts w:ascii="Calibri" w:hAnsi="Calibri" w:eastAsia="Calibri"/>
                <w:b/>
                <w:i w:val="0"/>
                <w:color w:val="2E3338"/>
                <w:sz w:val="19"/>
              </w:rPr>
              <w:t xml:space="preserve">Stakeholder Influence</w:t>
            </w: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DFE0E1"/>
            <w:tcW w:type="dxa" w:w="351"/>
            <w:tcBorders>
              <w:top w:val="single" w:sz="24" w:space="0" w:color="FFFFFF"/>
              <w:bottom w:val="single" w:sz="24" w:space="0" w:color="FFFFFF"/>
              <w:right w:val="single" w:sz="12" w:space="0" w:color="FFFFFF"/>
            </w:tcBorders>
          </w:tcPr>
          <w:p/>
        </w:tc>
        <w:tc>
          <w:tcPr>
            <w:shd w:val="clear" w:color="auto" w:fill="DFE0E1"/>
            <w:tcW w:type="dxa" w:w="351"/>
            <w:tcBorders>
              <w:top w:val="single" w:sz="24" w:space="0" w:color="FFFFFF"/>
              <w:left w:val="single" w:sz="12" w:space="0" w:color="FFFFFF"/>
              <w:bottom w:val="single" w:sz="24" w:space="0" w:color="FFFFFF"/>
            </w:tcBorders>
          </w:tcPr>
          <w:p/>
        </w:tc>
        <w:tc>
          <w:tcPr>
            <w:shd w:val="clear" w:color="auto" w:fill="DFE0E1"/>
            <w:tcW w:type="dxa" w:w="351"/>
            <w:tcBorders>
              <w:top w:val="single" w:sz="24" w:space="0" w:color="FFFFFF"/>
              <w:bottom w:val="single" w:sz="24" w:space="0" w:color="FFFFFF"/>
              <w:right w:val="single" w:sz="12" w:space="0" w:color="FFFFFF"/>
            </w:tcBorders>
          </w:tcPr>
          <w:p/>
        </w:tc>
        <w:tc>
          <w:tcPr>
            <w:tcW w:type="dxa" w:w="255"/>
          </w:tcPr>
          <w:p/>
        </w:tc>
        <w:tc>
          <w:tcPr>
            <w:tcW w:type="dxa" w:w="2921"/>
            <w:vAlign w:val="center"/>
          </w:tcPr>
          <w:p>
            <w:r>
              <w:rPr>
                <w:rFonts w:ascii="Calibri" w:hAnsi="Calibri" w:eastAsia="Calibri"/>
                <w:b/>
                <w:i w:val="0"/>
                <w:color w:val="2E3338"/>
                <w:sz w:val="19"/>
              </w:rPr>
              <w:t xml:space="preserve">3.5</w:t>
            </w:r>
            <w:r>
              <w:rPr>
                <w:rFonts w:ascii="Calibri" w:hAnsi="Calibri" w:eastAsia="Calibri"/>
                <w:b w:val="0"/>
                <w:i w:val="0"/>
                <w:color w:val="6B6D70"/>
                <w:sz w:val="17"/>
              </w:rPr>
              <w:t xml:space="preserve"> / 5  ·  Meets the role</w:t>
            </w:r>
          </w:p>
        </w:tc>
      </w:tr>
      <w:tr>
        <w:trPr>
          <w:cantSplit/>
        </w:trPr>
        <w:tc>
          <w:tcPr>
            <w:tcW w:type="dxa" w:w="9861"/>
            <w:gridSpan w:val="13"/>
            <w:tcMar>
              <w:top w:w="0" w:type="dxa"/>
              <w:left w:w="0" w:type="dxa"/>
              <w:bottom w:w="100" w:type="dxa"/>
              <w:right w:w="0" w:type="dxa"/>
            </w:tcMar>
            <w:tcBorders>
              <w:bottom w:val="single" w:sz="4" w:space="0" w:color="DFE0E1"/>
            </w:tcBorders>
          </w:tcPr>
          <w:p>
            <w:r>
              <w:rPr>
                <w:rFonts w:ascii="Calibri" w:hAnsi="Calibri" w:eastAsia="Calibri"/>
                <w:b w:val="0"/>
                <w:i w:val="0"/>
                <w:color w:val="6B6D70"/>
                <w:sz w:val="17"/>
              </w:rPr>
              <w:t xml:space="preserve">Trusted by the executive team; board-level presence is developing and sponsorship has come via the CEO.</w:t>
            </w:r>
          </w:p>
        </w:tc>
      </w:tr>
      <w:tr>
        <w:trPr>
          <w:trHeight w:val="317" w:hRule="atLeast"/>
          <w:cantSplit/>
        </w:trPr>
        <w:tc>
          <w:tcPr>
            <w:tcW w:type="dxa" w:w="3175"/>
            <w:vAlign w:val="center"/>
          </w:tcPr>
          <w:p>
            <w:r>
              <w:rPr>
                <w:rFonts w:ascii="Calibri" w:hAnsi="Calibri" w:eastAsia="Calibri"/>
                <w:b/>
                <w:i w:val="0"/>
                <w:color w:val="2E3338"/>
                <w:sz w:val="19"/>
              </w:rPr>
              <w:t xml:space="preserve">Execution and Delivery</w:t>
            </w: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tcW w:type="dxa" w:w="255"/>
          </w:tcPr>
          <w:p/>
        </w:tc>
        <w:tc>
          <w:tcPr>
            <w:tcW w:type="dxa" w:w="2921"/>
            <w:vAlign w:val="center"/>
          </w:tcPr>
          <w:p>
            <w:r>
              <w:rPr>
                <w:rFonts w:ascii="Calibri" w:hAnsi="Calibri" w:eastAsia="Calibri"/>
                <w:b/>
                <w:i w:val="0"/>
                <w:color w:val="2E3338"/>
                <w:sz w:val="19"/>
              </w:rPr>
              <w:t xml:space="preserve">5</w:t>
            </w:r>
            <w:r>
              <w:rPr>
                <w:rFonts w:ascii="Calibri" w:hAnsi="Calibri" w:eastAsia="Calibri"/>
                <w:b w:val="0"/>
                <w:i w:val="0"/>
                <w:color w:val="6B6D70"/>
                <w:sz w:val="17"/>
              </w:rPr>
              <w:t xml:space="preserve"> / 5  ·  Exceptional</w:t>
            </w:r>
          </w:p>
        </w:tc>
      </w:tr>
      <w:tr>
        <w:trPr>
          <w:cantSplit/>
        </w:trPr>
        <w:tc>
          <w:tcPr>
            <w:tcW w:type="dxa" w:w="9861"/>
            <w:gridSpan w:val="13"/>
            <w:tcMar>
              <w:top w:w="0" w:type="dxa"/>
              <w:left w:w="0" w:type="dxa"/>
              <w:bottom w:w="100" w:type="dxa"/>
              <w:right w:w="0" w:type="dxa"/>
            </w:tcMar>
            <w:tcBorders>
              <w:bottom w:val="single" w:sz="4" w:space="0" w:color="DFE0E1"/>
            </w:tcBorders>
          </w:tcPr>
          <w:p>
            <w:r>
              <w:rPr>
                <w:rFonts w:ascii="Calibri" w:hAnsi="Calibri" w:eastAsia="Calibri"/>
                <w:b w:val="0"/>
                <w:i w:val="0"/>
                <w:color w:val="6B6D70"/>
                <w:sz w:val="17"/>
              </w:rPr>
              <w:t xml:space="preserve">Consistently delivers against plan; on-time-in-full rose from 91% to 98.4% under her leadership.</w:t>
            </w:r>
          </w:p>
        </w:tc>
      </w:tr>
      <w:tr>
        <w:trPr>
          <w:trHeight w:val="317" w:hRule="atLeast"/>
          <w:cantSplit/>
        </w:trPr>
        <w:tc>
          <w:tcPr>
            <w:tcW w:type="dxa" w:w="3175"/>
            <w:vAlign w:val="center"/>
          </w:tcPr>
          <w:p>
            <w:r>
              <w:rPr>
                <w:rFonts w:ascii="Calibri" w:hAnsi="Calibri" w:eastAsia="Calibri"/>
                <w:b/>
                <w:i w:val="0"/>
                <w:color w:val="2E3338"/>
                <w:sz w:val="19"/>
              </w:rPr>
              <w:t xml:space="preserve">Financial Stewardship</w:t>
            </w: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DFE0E1"/>
            <w:tcW w:type="dxa" w:w="351"/>
            <w:tcBorders>
              <w:top w:val="single" w:sz="24" w:space="0" w:color="FFFFFF"/>
              <w:left w:val="single" w:sz="12" w:space="0" w:color="FFFFFF"/>
              <w:bottom w:val="single" w:sz="24" w:space="0" w:color="FFFFFF"/>
            </w:tcBorders>
          </w:tcPr>
          <w:p/>
        </w:tc>
        <w:tc>
          <w:tcPr>
            <w:shd w:val="clear" w:color="auto" w:fill="DFE0E1"/>
            <w:tcW w:type="dxa" w:w="351"/>
            <w:tcBorders>
              <w:top w:val="single" w:sz="24" w:space="0" w:color="FFFFFF"/>
              <w:bottom w:val="single" w:sz="24" w:space="0" w:color="FFFFFF"/>
              <w:right w:val="single" w:sz="12" w:space="0" w:color="FFFFFF"/>
            </w:tcBorders>
          </w:tcPr>
          <w:p/>
        </w:tc>
        <w:tc>
          <w:tcPr>
            <w:tcW w:type="dxa" w:w="255"/>
          </w:tcPr>
          <w:p/>
        </w:tc>
        <w:tc>
          <w:tcPr>
            <w:tcW w:type="dxa" w:w="2921"/>
            <w:vAlign w:val="center"/>
          </w:tcPr>
          <w:p>
            <w:r>
              <w:rPr>
                <w:rFonts w:ascii="Calibri" w:hAnsi="Calibri" w:eastAsia="Calibri"/>
                <w:b/>
                <w:i w:val="0"/>
                <w:color w:val="2E3338"/>
                <w:sz w:val="19"/>
              </w:rPr>
              <w:t xml:space="preserve">4</w:t>
            </w:r>
            <w:r>
              <w:rPr>
                <w:rFonts w:ascii="Calibri" w:hAnsi="Calibri" w:eastAsia="Calibri"/>
                <w:b w:val="0"/>
                <w:i w:val="0"/>
                <w:color w:val="6B6D70"/>
                <w:sz w:val="17"/>
              </w:rPr>
              <w:t xml:space="preserve"> / 5  ·  Strong</w:t>
            </w:r>
          </w:p>
        </w:tc>
      </w:tr>
      <w:tr>
        <w:trPr>
          <w:cantSplit/>
        </w:trPr>
        <w:tc>
          <w:tcPr>
            <w:tcW w:type="dxa" w:w="9861"/>
            <w:gridSpan w:val="13"/>
            <w:tcMar>
              <w:top w:w="0" w:type="dxa"/>
              <w:left w:w="0" w:type="dxa"/>
              <w:bottom w:w="100" w:type="dxa"/>
              <w:right w:w="0" w:type="dxa"/>
            </w:tcMar>
            <w:tcBorders>
              <w:bottom w:val="single" w:sz="4" w:space="0" w:color="DFE0E1"/>
            </w:tcBorders>
          </w:tcPr>
          <w:p>
            <w:r>
              <w:rPr>
                <w:rFonts w:ascii="Calibri" w:hAnsi="Calibri" w:eastAsia="Calibri"/>
                <w:b w:val="0"/>
                <w:i w:val="0"/>
                <w:color w:val="6B6D70"/>
                <w:sz w:val="17"/>
              </w:rPr>
              <w:t xml:space="preserve">Owns a £640m operational P&amp;L and a capital plan; comfortable with investor-grade business cases.</w:t>
            </w:r>
          </w:p>
        </w:tc>
      </w:tr>
      <w:tr>
        <w:trPr>
          <w:trHeight w:val="317" w:hRule="atLeast"/>
          <w:cantSplit/>
        </w:trPr>
        <w:tc>
          <w:tcPr>
            <w:tcW w:type="dxa" w:w="3175"/>
            <w:vAlign w:val="center"/>
          </w:tcPr>
          <w:p>
            <w:r>
              <w:rPr>
                <w:rFonts w:ascii="Calibri" w:hAnsi="Calibri" w:eastAsia="Calibri"/>
                <w:b/>
                <w:i w:val="0"/>
                <w:color w:val="2E3338"/>
                <w:sz w:val="19"/>
              </w:rPr>
              <w:t xml:space="preserve">Judgement and Decision-making</w:t>
            </w: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5F6B77"/>
            <w:tcW w:type="dxa" w:w="351"/>
            <w:tcBorders>
              <w:top w:val="single" w:sz="24" w:space="0" w:color="FFFFFF"/>
              <w:left w:val="single" w:sz="12" w:space="0" w:color="FFFFFF"/>
              <w:bottom w:val="single" w:sz="24" w:space="0" w:color="FFFFFF"/>
            </w:tcBorders>
          </w:tcPr>
          <w:p/>
        </w:tc>
        <w:tc>
          <w:tcPr>
            <w:shd w:val="clear" w:color="auto" w:fill="5F6B77"/>
            <w:tcW w:type="dxa" w:w="351"/>
            <w:tcBorders>
              <w:top w:val="single" w:sz="24" w:space="0" w:color="FFFFFF"/>
              <w:bottom w:val="single" w:sz="24" w:space="0" w:color="FFFFFF"/>
              <w:right w:val="single" w:sz="12" w:space="0" w:color="FFFFFF"/>
            </w:tcBorders>
          </w:tcPr>
          <w:p/>
        </w:tc>
        <w:tc>
          <w:tcPr>
            <w:shd w:val="clear" w:color="auto" w:fill="DFE0E1"/>
            <w:tcW w:type="dxa" w:w="351"/>
            <w:tcBorders>
              <w:top w:val="single" w:sz="24" w:space="0" w:color="FFFFFF"/>
              <w:left w:val="single" w:sz="12" w:space="0" w:color="FFFFFF"/>
              <w:bottom w:val="single" w:sz="24" w:space="0" w:color="FFFFFF"/>
            </w:tcBorders>
          </w:tcPr>
          <w:p/>
        </w:tc>
        <w:tc>
          <w:tcPr>
            <w:shd w:val="clear" w:color="auto" w:fill="DFE0E1"/>
            <w:tcW w:type="dxa" w:w="351"/>
            <w:tcBorders>
              <w:top w:val="single" w:sz="24" w:space="0" w:color="FFFFFF"/>
              <w:bottom w:val="single" w:sz="24" w:space="0" w:color="FFFFFF"/>
              <w:right w:val="single" w:sz="12" w:space="0" w:color="FFFFFF"/>
            </w:tcBorders>
          </w:tcPr>
          <w:p/>
        </w:tc>
        <w:tc>
          <w:tcPr>
            <w:tcW w:type="dxa" w:w="255"/>
          </w:tcPr>
          <w:p/>
        </w:tc>
        <w:tc>
          <w:tcPr>
            <w:tcW w:type="dxa" w:w="2921"/>
            <w:vAlign w:val="center"/>
          </w:tcPr>
          <w:p>
            <w:r>
              <w:rPr>
                <w:rFonts w:ascii="Calibri" w:hAnsi="Calibri" w:eastAsia="Calibri"/>
                <w:b/>
                <w:i w:val="0"/>
                <w:color w:val="2E3338"/>
                <w:sz w:val="19"/>
              </w:rPr>
              <w:t xml:space="preserve">4</w:t>
            </w:r>
            <w:r>
              <w:rPr>
                <w:rFonts w:ascii="Calibri" w:hAnsi="Calibri" w:eastAsia="Calibri"/>
                <w:b w:val="0"/>
                <w:i w:val="0"/>
                <w:color w:val="6B6D70"/>
                <w:sz w:val="17"/>
              </w:rPr>
              <w:t xml:space="preserve"> / 5  ·  Strong</w:t>
            </w:r>
          </w:p>
        </w:tc>
      </w:tr>
      <w:tr>
        <w:trPr>
          <w:cantSplit/>
        </w:trPr>
        <w:tc>
          <w:tcPr>
            <w:tcW w:type="dxa" w:w="9861"/>
            <w:gridSpan w:val="13"/>
            <w:tcMar>
              <w:top w:w="0" w:type="dxa"/>
              <w:left w:w="0" w:type="dxa"/>
              <w:bottom w:w="100" w:type="dxa"/>
              <w:right w:w="0" w:type="dxa"/>
            </w:tcMar>
            <w:tcBorders>
              <w:bottom w:val="single" w:sz="4" w:space="0" w:color="DFE0E1"/>
            </w:tcBorders>
          </w:tcPr>
          <w:p>
            <w:r>
              <w:rPr>
                <w:rFonts w:ascii="Calibri" w:hAnsi="Calibri" w:eastAsia="Calibri"/>
                <w:b w:val="0"/>
                <w:i w:val="0"/>
                <w:color w:val="6B6D70"/>
                <w:sz w:val="17"/>
              </w:rPr>
              <w:t xml:space="preserve">Makes timely calls with incomplete data; uses a clear escalation framework and revisits decisions when facts change.</w:t>
            </w:r>
          </w:p>
        </w:tc>
      </w:tr>
    </w:tbl>
    <w:p>
      <w:pPr>
        <w:spacing w:before="100" w:after="0"/>
      </w:pPr>
      <w:r>
        <w:rPr>
          <w:rFonts w:ascii="Calibri" w:hAnsi="Calibri" w:eastAsia="Calibri"/>
          <w:b w:val="0"/>
          <w:i w:val="0"/>
          <w:color w:val="6B6D70"/>
          <w:sz w:val="15"/>
        </w:rPr>
        <w:t>Scale:  1 Limited evidence  ·  2 Developing  ·  3 Meets the role  ·  4 Strong  ·  5 Exceptional</w:t>
      </w:r>
    </w:p>
    <w:p>
      <w:pPr>
        <w:keepNext/>
        <w:spacing w:before="320" w:after="40"/>
      </w:pPr>
      <w:r>
        <w:rPr>
          <w:rFonts w:ascii="Cambria" w:hAnsi="Cambria" w:eastAsia="Cambria"/>
          <w:b w:val="0"/>
          <w:i w:val="0"/>
          <w:color w:val="2E3338"/>
          <w:sz w:val="30"/>
        </w:rPr>
        <w:t>Working-style profile</w:t>
      </w:r>
    </w:p>
    <w:p>
      <w:pPr>
        <w:keepNext/>
        <w:spacing w:before="0" w:after="120"/>
        <w:pBdr>
          <w:bottom w:val="single" w:sz="6" w:space="4" w:color="DFE0E1"/>
        </w:pBdr>
      </w:pPr>
      <w:r>
        <w:rPr>
          <w:rFonts w:ascii="Calibri" w:hAnsi="Calibri" w:eastAsia="Calibri"/>
          <w:b w:val="0"/>
          <w:i w:val="0"/>
          <w:color w:val="6B6D70"/>
          <w:sz w:val="17"/>
        </w:rPr>
        <w:t>Seven working-style scales, 0-100. Scores describe preferred style, not ability; mid-range scores are neither good nor bad.</w:t>
      </w:r>
    </w:p>
    <w:tbl>
      <w:tblPr>
        <w:tblLook w:firstColumn="1" w:firstRow="1" w:lastColumn="0" w:lastRow="0" w:noHBand="0" w:noVBand="1" w:val="04A0"/>
        <w:tblW w:w="9865"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211"/>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04"/>
        <w:gridCol w:w="227"/>
        <w:gridCol w:w="794"/>
        <w:gridCol w:w="2553"/>
      </w:tblGrid>
      <w:tr>
        <w:tc>
          <w:tcPr>
            <w:tcW w:type="dxa" w:w="2211"/>
            <w:tcMar>
              <w:top w:w="0" w:type="dxa"/>
              <w:left w:w="0" w:type="dxa"/>
              <w:bottom w:w="40" w:type="dxa"/>
              <w:right w:w="0" w:type="dxa"/>
            </w:tcMar>
          </w:tcPr>
          <w:p>
            <w:r>
              <w:rPr>
                <w:rFonts w:ascii="Calibri" w:hAnsi="Calibri" w:eastAsia="Calibri"/>
                <w:b/>
                <w:i w:val="0"/>
                <w:caps/>
                <w:color w:val="5F6B77"/>
                <w:sz w:val="15"/>
                <w:spacing w:val="20"/>
              </w:rPr>
              <w:t>Scale</w:t>
            </w:r>
          </w:p>
        </w:tc>
        <w:tc>
          <w:tcPr>
            <w:tcW w:type="dxa" w:w="1428"/>
            <w:gridSpan w:val="7"/>
            <w:tcMar>
              <w:top w:w="0" w:type="dxa"/>
              <w:left w:w="0" w:type="dxa"/>
              <w:bottom w:w="40" w:type="dxa"/>
              <w:right w:w="0" w:type="dxa"/>
            </w:tcMar>
            <w:tcBorders>
              <w:left w:val="nil"/>
              <w:bottom w:val="single" w:sz="6" w:space="0" w:color="A7AEB4"/>
            </w:tcBorders>
          </w:tcPr>
          <w:p>
            <w:pPr>
              <w:jc w:val="center"/>
            </w:pPr>
            <w:r>
              <w:rPr>
                <w:rFonts w:ascii="Calibri" w:hAnsi="Calibri" w:eastAsia="Calibri"/>
                <w:b/>
                <w:i w:val="0"/>
                <w:color w:val="6B6D70"/>
                <w:sz w:val="15"/>
              </w:rPr>
              <w:t>Low</w:t>
            </w:r>
          </w:p>
        </w:tc>
        <w:tc>
          <w:tcPr>
            <w:tcW w:type="dxa" w:w="1224"/>
            <w:gridSpan w:val="6"/>
            <w:tcMar>
              <w:top w:w="0" w:type="dxa"/>
              <w:left w:w="0" w:type="dxa"/>
              <w:bottom w:w="40" w:type="dxa"/>
              <w:right w:w="0" w:type="dxa"/>
            </w:tcMar>
            <w:tcBorders>
              <w:left w:val="single" w:sz="6" w:space="0" w:color="FFFFFF"/>
              <w:bottom w:val="single" w:sz="6" w:space="0" w:color="A7AEB4"/>
            </w:tcBorders>
          </w:tcPr>
          <w:p>
            <w:pPr>
              <w:jc w:val="center"/>
            </w:pPr>
            <w:r>
              <w:rPr>
                <w:rFonts w:ascii="Calibri" w:hAnsi="Calibri" w:eastAsia="Calibri"/>
                <w:b/>
                <w:i w:val="0"/>
                <w:color w:val="6B6D70"/>
                <w:sz w:val="15"/>
              </w:rPr>
              <w:t>Moderate</w:t>
            </w:r>
          </w:p>
        </w:tc>
        <w:tc>
          <w:tcPr>
            <w:tcW w:type="dxa" w:w="1428"/>
            <w:gridSpan w:val="7"/>
            <w:tcMar>
              <w:top w:w="0" w:type="dxa"/>
              <w:left w:w="0" w:type="dxa"/>
              <w:bottom w:w="40" w:type="dxa"/>
              <w:right w:w="0" w:type="dxa"/>
            </w:tcMar>
            <w:tcBorders>
              <w:left w:val="single" w:sz="6" w:space="0" w:color="FFFFFF"/>
              <w:bottom w:val="single" w:sz="6" w:space="0" w:color="A7AEB4"/>
            </w:tcBorders>
          </w:tcPr>
          <w:p>
            <w:pPr>
              <w:jc w:val="center"/>
            </w:pPr>
            <w:r>
              <w:rPr>
                <w:rFonts w:ascii="Calibri" w:hAnsi="Calibri" w:eastAsia="Calibri"/>
                <w:b/>
                <w:i w:val="0"/>
                <w:color w:val="6B6D70"/>
                <w:sz w:val="15"/>
              </w:rPr>
              <w:t>High</w:t>
            </w:r>
          </w:p>
        </w:tc>
        <w:tc>
          <w:tcPr>
            <w:tcW w:type="dxa" w:w="227"/>
          </w:tcPr>
          <w:p/>
        </w:tc>
        <w:tc>
          <w:tcPr>
            <w:tcW w:type="dxa" w:w="794"/>
            <w:tcMar>
              <w:top w:w="0" w:type="dxa"/>
              <w:left w:w="0" w:type="dxa"/>
              <w:bottom w:w="40" w:type="dxa"/>
              <w:right w:w="0" w:type="dxa"/>
            </w:tcMar>
          </w:tcPr>
          <w:p>
            <w:pPr>
              <w:jc w:val="center"/>
            </w:pPr>
            <w:r>
              <w:rPr>
                <w:rFonts w:ascii="Calibri" w:hAnsi="Calibri" w:eastAsia="Calibri"/>
                <w:b/>
                <w:i w:val="0"/>
                <w:caps/>
                <w:color w:val="5F6B77"/>
                <w:sz w:val="15"/>
                <w:spacing w:val="20"/>
              </w:rPr>
              <w:t>Score</w:t>
            </w:r>
          </w:p>
        </w:tc>
        <w:tc>
          <w:tcPr>
            <w:tcW w:type="dxa" w:w="2553"/>
          </w:tcPr>
          <w:p/>
        </w:tc>
      </w:tr>
      <w:tr>
        <w:trPr>
          <w:trHeight w:val="317" w:hRule="atLeast"/>
          <w:cantSplit/>
        </w:trPr>
        <w:tc>
          <w:tcPr>
            <w:tcW w:type="dxa" w:w="2211"/>
            <w:vAlign w:val="center"/>
          </w:tcPr>
          <w:p>
            <w:r>
              <w:rPr>
                <w:rFonts w:ascii="Calibri" w:hAnsi="Calibri" w:eastAsia="Calibri"/>
                <w:b/>
                <w:i w:val="0"/>
                <w:color w:val="2E3338"/>
                <w:sz w:val="19"/>
              </w:rPr>
              <w:t xml:space="preserve">Composure</w:t>
            </w: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left w:val="single" w:sz="18"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left w:val="single" w:sz="18"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tcW w:type="dxa" w:w="227"/>
          </w:tcPr>
          <w:p/>
        </w:tc>
        <w:tc>
          <w:tcPr>
            <w:tcW w:type="dxa" w:w="794"/>
            <w:vAlign w:val="center"/>
          </w:tcPr>
          <w:p>
            <w:pPr>
              <w:jc w:val="center"/>
            </w:pPr>
            <w:r>
              <w:rPr>
                <w:rFonts w:ascii="Calibri" w:hAnsi="Calibri" w:eastAsia="Calibri"/>
                <w:b/>
                <w:i w:val="0"/>
                <w:color w:val="2E3338"/>
                <w:sz w:val="19"/>
              </w:rPr>
              <w:t xml:space="preserve">78</w:t>
            </w:r>
          </w:p>
        </w:tc>
        <w:tc>
          <w:tcPr>
            <w:tcW w:type="dxa" w:w="2553"/>
            <w:vAlign w:val="center"/>
          </w:tcPr>
          <w:p>
            <w:r>
              <w:rPr>
                <w:rFonts w:ascii="Calibri" w:hAnsi="Calibri" w:eastAsia="Calibri"/>
                <w:b w:val="0"/>
                <w:i w:val="0"/>
                <w:color w:val="6B6D70"/>
                <w:sz w:val="17"/>
              </w:rPr>
              <w:t xml:space="preserve">High</w:t>
            </w:r>
          </w:p>
        </w:tc>
      </w:tr>
      <w:tr>
        <w:trPr>
          <w:cantSplit/>
        </w:trPr>
        <w:tc>
          <w:tcPr>
            <w:tcW w:type="dxa" w:w="9865"/>
            <w:gridSpan w:val="24"/>
            <w:tcMar>
              <w:top w:w="0" w:type="dxa"/>
              <w:left w:w="0" w:type="dxa"/>
              <w:bottom w:w="100" w:type="dxa"/>
              <w:right w:w="0" w:type="dxa"/>
            </w:tcMar>
            <w:tcBorders>
              <w:bottom w:val="single" w:sz="4" w:space="0" w:color="DFE0E1"/>
            </w:tcBorders>
          </w:tcPr>
          <w:p>
            <w:r>
              <w:rPr>
                <w:rFonts w:ascii="Calibri" w:hAnsi="Calibri" w:eastAsia="Calibri"/>
                <w:b w:val="0"/>
                <w:i w:val="0"/>
                <w:color w:val="6B6D70"/>
                <w:sz w:val="17"/>
              </w:rPr>
              <w:t xml:space="preserve">Calm under pressure; stays measured in escalations and crises.</w:t>
            </w:r>
          </w:p>
        </w:tc>
      </w:tr>
      <w:tr>
        <w:trPr>
          <w:trHeight w:val="317" w:hRule="atLeast"/>
          <w:cantSplit/>
        </w:trPr>
        <w:tc>
          <w:tcPr>
            <w:tcW w:type="dxa" w:w="2211"/>
            <w:vAlign w:val="center"/>
          </w:tcPr>
          <w:p>
            <w:r>
              <w:rPr>
                <w:rFonts w:ascii="Calibri" w:hAnsi="Calibri" w:eastAsia="Calibri"/>
                <w:b/>
                <w:i w:val="0"/>
                <w:color w:val="2E3338"/>
                <w:sz w:val="19"/>
              </w:rPr>
              <w:t xml:space="preserve">Drive</w:t>
            </w: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left w:val="single" w:sz="18"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left w:val="single" w:sz="18"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tcW w:type="dxa" w:w="227"/>
          </w:tcPr>
          <w:p/>
        </w:tc>
        <w:tc>
          <w:tcPr>
            <w:tcW w:type="dxa" w:w="794"/>
            <w:vAlign w:val="center"/>
          </w:tcPr>
          <w:p>
            <w:pPr>
              <w:jc w:val="center"/>
            </w:pPr>
            <w:r>
              <w:rPr>
                <w:rFonts w:ascii="Calibri" w:hAnsi="Calibri" w:eastAsia="Calibri"/>
                <w:b/>
                <w:i w:val="0"/>
                <w:color w:val="2E3338"/>
                <w:sz w:val="19"/>
              </w:rPr>
              <w:t xml:space="preserve">86</w:t>
            </w:r>
          </w:p>
        </w:tc>
        <w:tc>
          <w:tcPr>
            <w:tcW w:type="dxa" w:w="2553"/>
            <w:vAlign w:val="center"/>
          </w:tcPr>
          <w:p>
            <w:r>
              <w:rPr>
                <w:rFonts w:ascii="Calibri" w:hAnsi="Calibri" w:eastAsia="Calibri"/>
                <w:b w:val="0"/>
                <w:i w:val="0"/>
                <w:color w:val="6B6D70"/>
                <w:sz w:val="17"/>
              </w:rPr>
              <w:t xml:space="preserve">High</w:t>
            </w:r>
          </w:p>
        </w:tc>
      </w:tr>
      <w:tr>
        <w:trPr>
          <w:cantSplit/>
        </w:trPr>
        <w:tc>
          <w:tcPr>
            <w:tcW w:type="dxa" w:w="9865"/>
            <w:gridSpan w:val="24"/>
            <w:tcMar>
              <w:top w:w="0" w:type="dxa"/>
              <w:left w:w="0" w:type="dxa"/>
              <w:bottom w:w="100" w:type="dxa"/>
              <w:right w:w="0" w:type="dxa"/>
            </w:tcMar>
            <w:tcBorders>
              <w:bottom w:val="single" w:sz="4" w:space="0" w:color="DFE0E1"/>
            </w:tcBorders>
          </w:tcPr>
          <w:p>
            <w:r>
              <w:rPr>
                <w:rFonts w:ascii="Calibri" w:hAnsi="Calibri" w:eastAsia="Calibri"/>
                <w:b w:val="0"/>
                <w:i w:val="0"/>
                <w:color w:val="6B6D70"/>
                <w:sz w:val="17"/>
              </w:rPr>
              <w:t xml:space="preserve">Highly results-oriented; sets stretching goals for herself and her teams.</w:t>
            </w:r>
          </w:p>
        </w:tc>
      </w:tr>
      <w:tr>
        <w:trPr>
          <w:trHeight w:val="317" w:hRule="atLeast"/>
          <w:cantSplit/>
        </w:trPr>
        <w:tc>
          <w:tcPr>
            <w:tcW w:type="dxa" w:w="2211"/>
            <w:vAlign w:val="center"/>
          </w:tcPr>
          <w:p>
            <w:r>
              <w:rPr>
                <w:rFonts w:ascii="Calibri" w:hAnsi="Calibri" w:eastAsia="Calibri"/>
                <w:b/>
                <w:i w:val="0"/>
                <w:color w:val="2E3338"/>
                <w:sz w:val="19"/>
              </w:rPr>
              <w:t xml:space="preserve">Influence</w:t>
            </w: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left w:val="single" w:sz="18"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left w:val="single" w:sz="18"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tcW w:type="dxa" w:w="227"/>
          </w:tcPr>
          <w:p/>
        </w:tc>
        <w:tc>
          <w:tcPr>
            <w:tcW w:type="dxa" w:w="794"/>
            <w:vAlign w:val="center"/>
          </w:tcPr>
          <w:p>
            <w:pPr>
              <w:jc w:val="center"/>
            </w:pPr>
            <w:r>
              <w:rPr>
                <w:rFonts w:ascii="Calibri" w:hAnsi="Calibri" w:eastAsia="Calibri"/>
                <w:b/>
                <w:i w:val="0"/>
                <w:color w:val="2E3338"/>
                <w:sz w:val="19"/>
              </w:rPr>
              <w:t xml:space="preserve">58</w:t>
            </w:r>
          </w:p>
        </w:tc>
        <w:tc>
          <w:tcPr>
            <w:tcW w:type="dxa" w:w="2553"/>
            <w:vAlign w:val="center"/>
          </w:tcPr>
          <w:p>
            <w:r>
              <w:rPr>
                <w:rFonts w:ascii="Calibri" w:hAnsi="Calibri" w:eastAsia="Calibri"/>
                <w:b w:val="0"/>
                <w:i w:val="0"/>
                <w:color w:val="6B6D70"/>
                <w:sz w:val="17"/>
              </w:rPr>
              <w:t xml:space="preserve">Moderate</w:t>
            </w:r>
          </w:p>
        </w:tc>
      </w:tr>
      <w:tr>
        <w:trPr>
          <w:cantSplit/>
        </w:trPr>
        <w:tc>
          <w:tcPr>
            <w:tcW w:type="dxa" w:w="9865"/>
            <w:gridSpan w:val="24"/>
            <w:tcMar>
              <w:top w:w="0" w:type="dxa"/>
              <w:left w:w="0" w:type="dxa"/>
              <w:bottom w:w="100" w:type="dxa"/>
              <w:right w:w="0" w:type="dxa"/>
            </w:tcMar>
            <w:tcBorders>
              <w:bottom w:val="single" w:sz="4" w:space="0" w:color="DFE0E1"/>
            </w:tcBorders>
          </w:tcPr>
          <w:p>
            <w:r>
              <w:rPr>
                <w:rFonts w:ascii="Calibri" w:hAnsi="Calibri" w:eastAsia="Calibri"/>
                <w:b w:val="0"/>
                <w:i w:val="0"/>
                <w:color w:val="6B6D70"/>
                <w:sz w:val="17"/>
              </w:rPr>
              <w:t xml:space="preserve">Persuades through evidence rather than presence; may under-sell herself at board level.</w:t>
            </w:r>
          </w:p>
        </w:tc>
      </w:tr>
      <w:tr>
        <w:trPr>
          <w:trHeight w:val="317" w:hRule="atLeast"/>
          <w:cantSplit/>
        </w:trPr>
        <w:tc>
          <w:tcPr>
            <w:tcW w:type="dxa" w:w="2211"/>
            <w:vAlign w:val="center"/>
          </w:tcPr>
          <w:p>
            <w:r>
              <w:rPr>
                <w:rFonts w:ascii="Calibri" w:hAnsi="Calibri" w:eastAsia="Calibri"/>
                <w:b/>
                <w:i w:val="0"/>
                <w:color w:val="2E3338"/>
                <w:sz w:val="19"/>
              </w:rPr>
              <w:t xml:space="preserve">Collaboration</w:t>
            </w: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left w:val="single" w:sz="18"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left w:val="single" w:sz="18"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tcW w:type="dxa" w:w="227"/>
          </w:tcPr>
          <w:p/>
        </w:tc>
        <w:tc>
          <w:tcPr>
            <w:tcW w:type="dxa" w:w="794"/>
            <w:vAlign w:val="center"/>
          </w:tcPr>
          <w:p>
            <w:pPr>
              <w:jc w:val="center"/>
            </w:pPr>
            <w:r>
              <w:rPr>
                <w:rFonts w:ascii="Calibri" w:hAnsi="Calibri" w:eastAsia="Calibri"/>
                <w:b/>
                <w:i w:val="0"/>
                <w:color w:val="2E3338"/>
                <w:sz w:val="19"/>
              </w:rPr>
              <w:t xml:space="preserve">71</w:t>
            </w:r>
          </w:p>
        </w:tc>
        <w:tc>
          <w:tcPr>
            <w:tcW w:type="dxa" w:w="2553"/>
            <w:vAlign w:val="center"/>
          </w:tcPr>
          <w:p>
            <w:r>
              <w:rPr>
                <w:rFonts w:ascii="Calibri" w:hAnsi="Calibri" w:eastAsia="Calibri"/>
                <w:b w:val="0"/>
                <w:i w:val="0"/>
                <w:color w:val="6B6D70"/>
                <w:sz w:val="17"/>
              </w:rPr>
              <w:t xml:space="preserve">High</w:t>
            </w:r>
          </w:p>
        </w:tc>
      </w:tr>
      <w:tr>
        <w:trPr>
          <w:cantSplit/>
        </w:trPr>
        <w:tc>
          <w:tcPr>
            <w:tcW w:type="dxa" w:w="9865"/>
            <w:gridSpan w:val="24"/>
            <w:tcMar>
              <w:top w:w="0" w:type="dxa"/>
              <w:left w:w="0" w:type="dxa"/>
              <w:bottom w:w="100" w:type="dxa"/>
              <w:right w:w="0" w:type="dxa"/>
            </w:tcMar>
            <w:tcBorders>
              <w:bottom w:val="single" w:sz="4" w:space="0" w:color="DFE0E1"/>
            </w:tcBorders>
          </w:tcPr>
          <w:p>
            <w:r>
              <w:rPr>
                <w:rFonts w:ascii="Calibri" w:hAnsi="Calibri" w:eastAsia="Calibri"/>
                <w:b w:val="0"/>
                <w:i w:val="0"/>
                <w:color w:val="6B6D70"/>
                <w:sz w:val="17"/>
              </w:rPr>
              <w:t xml:space="preserve">Builds coalitions across functions and seeks input before deciding.</w:t>
            </w:r>
          </w:p>
        </w:tc>
      </w:tr>
      <w:tr>
        <w:trPr>
          <w:trHeight w:val="317" w:hRule="atLeast"/>
          <w:cantSplit/>
        </w:trPr>
        <w:tc>
          <w:tcPr>
            <w:tcW w:type="dxa" w:w="2211"/>
            <w:vAlign w:val="center"/>
          </w:tcPr>
          <w:p>
            <w:r>
              <w:rPr>
                <w:rFonts w:ascii="Calibri" w:hAnsi="Calibri" w:eastAsia="Calibri"/>
                <w:b/>
                <w:i w:val="0"/>
                <w:color w:val="2E3338"/>
                <w:sz w:val="19"/>
              </w:rPr>
              <w:t xml:space="preserve">Rigour</w:t>
            </w: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left w:val="single" w:sz="18"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left w:val="single" w:sz="18"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tcW w:type="dxa" w:w="227"/>
          </w:tcPr>
          <w:p/>
        </w:tc>
        <w:tc>
          <w:tcPr>
            <w:tcW w:type="dxa" w:w="794"/>
            <w:vAlign w:val="center"/>
          </w:tcPr>
          <w:p>
            <w:pPr>
              <w:jc w:val="center"/>
            </w:pPr>
            <w:r>
              <w:rPr>
                <w:rFonts w:ascii="Calibri" w:hAnsi="Calibri" w:eastAsia="Calibri"/>
                <w:b/>
                <w:i w:val="0"/>
                <w:color w:val="2E3338"/>
                <w:sz w:val="19"/>
              </w:rPr>
              <w:t xml:space="preserve">82</w:t>
            </w:r>
          </w:p>
        </w:tc>
        <w:tc>
          <w:tcPr>
            <w:tcW w:type="dxa" w:w="2553"/>
            <w:vAlign w:val="center"/>
          </w:tcPr>
          <w:p>
            <w:r>
              <w:rPr>
                <w:rFonts w:ascii="Calibri" w:hAnsi="Calibri" w:eastAsia="Calibri"/>
                <w:b w:val="0"/>
                <w:i w:val="0"/>
                <w:color w:val="6B6D70"/>
                <w:sz w:val="17"/>
              </w:rPr>
              <w:t xml:space="preserve">High</w:t>
            </w:r>
          </w:p>
        </w:tc>
      </w:tr>
      <w:tr>
        <w:trPr>
          <w:cantSplit/>
        </w:trPr>
        <w:tc>
          <w:tcPr>
            <w:tcW w:type="dxa" w:w="9865"/>
            <w:gridSpan w:val="24"/>
            <w:tcMar>
              <w:top w:w="0" w:type="dxa"/>
              <w:left w:w="0" w:type="dxa"/>
              <w:bottom w:w="100" w:type="dxa"/>
              <w:right w:w="0" w:type="dxa"/>
            </w:tcMar>
            <w:tcBorders>
              <w:bottom w:val="single" w:sz="4" w:space="0" w:color="DFE0E1"/>
            </w:tcBorders>
          </w:tcPr>
          <w:p>
            <w:r>
              <w:rPr>
                <w:rFonts w:ascii="Calibri" w:hAnsi="Calibri" w:eastAsia="Calibri"/>
                <w:b w:val="0"/>
                <w:i w:val="0"/>
                <w:color w:val="6B6D70"/>
                <w:sz w:val="17"/>
              </w:rPr>
              <w:t xml:space="preserve">Detail-conscious and process-minded; expects high standards of data and reporting.</w:t>
            </w:r>
          </w:p>
        </w:tc>
      </w:tr>
      <w:tr>
        <w:trPr>
          <w:trHeight w:val="317" w:hRule="atLeast"/>
          <w:cantSplit/>
        </w:trPr>
        <w:tc>
          <w:tcPr>
            <w:tcW w:type="dxa" w:w="2211"/>
            <w:vAlign w:val="center"/>
          </w:tcPr>
          <w:p>
            <w:r>
              <w:rPr>
                <w:rFonts w:ascii="Calibri" w:hAnsi="Calibri" w:eastAsia="Calibri"/>
                <w:b/>
                <w:i w:val="0"/>
                <w:color w:val="2E3338"/>
                <w:sz w:val="19"/>
              </w:rPr>
              <w:t xml:space="preserve">Curiosity</w:t>
            </w: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left w:val="single" w:sz="18"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left w:val="single" w:sz="18"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tcW w:type="dxa" w:w="227"/>
          </w:tcPr>
          <w:p/>
        </w:tc>
        <w:tc>
          <w:tcPr>
            <w:tcW w:type="dxa" w:w="794"/>
            <w:vAlign w:val="center"/>
          </w:tcPr>
          <w:p>
            <w:pPr>
              <w:jc w:val="center"/>
            </w:pPr>
            <w:r>
              <w:rPr>
                <w:rFonts w:ascii="Calibri" w:hAnsi="Calibri" w:eastAsia="Calibri"/>
                <w:b/>
                <w:i w:val="0"/>
                <w:color w:val="2E3338"/>
                <w:sz w:val="19"/>
              </w:rPr>
              <w:t xml:space="preserve">44</w:t>
            </w:r>
          </w:p>
        </w:tc>
        <w:tc>
          <w:tcPr>
            <w:tcW w:type="dxa" w:w="2553"/>
            <w:vAlign w:val="center"/>
          </w:tcPr>
          <w:p>
            <w:r>
              <w:rPr>
                <w:rFonts w:ascii="Calibri" w:hAnsi="Calibri" w:eastAsia="Calibri"/>
                <w:b w:val="0"/>
                <w:i w:val="0"/>
                <w:color w:val="6B6D70"/>
                <w:sz w:val="17"/>
              </w:rPr>
              <w:t xml:space="preserve">Moderate</w:t>
            </w:r>
          </w:p>
        </w:tc>
      </w:tr>
      <w:tr>
        <w:trPr>
          <w:cantSplit/>
        </w:trPr>
        <w:tc>
          <w:tcPr>
            <w:tcW w:type="dxa" w:w="9865"/>
            <w:gridSpan w:val="24"/>
            <w:tcMar>
              <w:top w:w="0" w:type="dxa"/>
              <w:left w:w="0" w:type="dxa"/>
              <w:bottom w:w="100" w:type="dxa"/>
              <w:right w:w="0" w:type="dxa"/>
            </w:tcMar>
            <w:tcBorders>
              <w:bottom w:val="single" w:sz="4" w:space="0" w:color="DFE0E1"/>
            </w:tcBorders>
          </w:tcPr>
          <w:p>
            <w:r>
              <w:rPr>
                <w:rFonts w:ascii="Calibri" w:hAnsi="Calibri" w:eastAsia="Calibri"/>
                <w:b w:val="0"/>
                <w:i w:val="0"/>
                <w:color w:val="6B6D70"/>
                <w:sz w:val="17"/>
              </w:rPr>
              <w:t xml:space="preserve">Practical rather than exploratory; prefers proven approaches to untested ideas.</w:t>
            </w:r>
          </w:p>
        </w:tc>
      </w:tr>
      <w:tr>
        <w:trPr>
          <w:trHeight w:val="317" w:hRule="atLeast"/>
          <w:cantSplit/>
        </w:trPr>
        <w:tc>
          <w:tcPr>
            <w:tcW w:type="dxa" w:w="2211"/>
            <w:vAlign w:val="center"/>
          </w:tcPr>
          <w:p>
            <w:r>
              <w:rPr>
                <w:rFonts w:ascii="Calibri" w:hAnsi="Calibri" w:eastAsia="Calibri"/>
                <w:b/>
                <w:i w:val="0"/>
                <w:color w:val="2E3338"/>
                <w:sz w:val="19"/>
              </w:rPr>
              <w:t xml:space="preserve">Adaptability</w:t>
            </w: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left w:val="single" w:sz="18"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2E3338"/>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left w:val="single" w:sz="18"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shd w:val="clear" w:color="auto" w:fill="DFE0E1"/>
            <w:tcW w:type="dxa" w:w="204"/>
            <w:tcBorders>
              <w:top w:val="single" w:sz="24" w:space="0" w:color="FFFFFF"/>
              <w:bottom w:val="single" w:sz="24" w:space="0" w:color="FFFFFF"/>
              <w:right w:val="single" w:sz="4" w:space="0" w:color="FFFFFF"/>
            </w:tcBorders>
          </w:tcPr>
          <w:p/>
        </w:tc>
        <w:tc>
          <w:tcPr>
            <w:tcW w:type="dxa" w:w="227"/>
          </w:tcPr>
          <w:p/>
        </w:tc>
        <w:tc>
          <w:tcPr>
            <w:tcW w:type="dxa" w:w="794"/>
            <w:vAlign w:val="center"/>
          </w:tcPr>
          <w:p>
            <w:pPr>
              <w:jc w:val="center"/>
            </w:pPr>
            <w:r>
              <w:rPr>
                <w:rFonts w:ascii="Calibri" w:hAnsi="Calibri" w:eastAsia="Calibri"/>
                <w:b/>
                <w:i w:val="0"/>
                <w:color w:val="2E3338"/>
                <w:sz w:val="19"/>
              </w:rPr>
              <w:t xml:space="preserve">63</w:t>
            </w:r>
          </w:p>
        </w:tc>
        <w:tc>
          <w:tcPr>
            <w:tcW w:type="dxa" w:w="2553"/>
            <w:vAlign w:val="center"/>
          </w:tcPr>
          <w:p>
            <w:r>
              <w:rPr>
                <w:rFonts w:ascii="Calibri" w:hAnsi="Calibri" w:eastAsia="Calibri"/>
                <w:b w:val="0"/>
                <w:i w:val="0"/>
                <w:color w:val="6B6D70"/>
                <w:sz w:val="17"/>
              </w:rPr>
              <w:t xml:space="preserve">Moderate</w:t>
            </w:r>
          </w:p>
        </w:tc>
      </w:tr>
      <w:tr>
        <w:trPr>
          <w:cantSplit/>
        </w:trPr>
        <w:tc>
          <w:tcPr>
            <w:tcW w:type="dxa" w:w="9865"/>
            <w:gridSpan w:val="24"/>
            <w:tcMar>
              <w:top w:w="0" w:type="dxa"/>
              <w:left w:w="0" w:type="dxa"/>
              <w:bottom w:w="100" w:type="dxa"/>
              <w:right w:w="0" w:type="dxa"/>
            </w:tcMar>
            <w:tcBorders>
              <w:bottom w:val="single" w:sz="4" w:space="0" w:color="DFE0E1"/>
            </w:tcBorders>
          </w:tcPr>
          <w:p>
            <w:r>
              <w:rPr>
                <w:rFonts w:ascii="Calibri" w:hAnsi="Calibri" w:eastAsia="Calibri"/>
                <w:b w:val="0"/>
                <w:i w:val="0"/>
                <w:color w:val="6B6D70"/>
                <w:sz w:val="17"/>
              </w:rPr>
              <w:t xml:space="preserve">Adjusts well to change she has shaped; less comfortable with ambiguity imposed from outside.</w:t>
            </w:r>
          </w:p>
        </w:tc>
      </w:tr>
    </w:tbl>
    <w:p>
      <w:pPr>
        <w:spacing w:before="100" w:after="0"/>
      </w:pPr>
      <w:r>
        <w:rPr>
          <w:rFonts w:ascii="Calibri" w:hAnsi="Calibri" w:eastAsia="Calibri"/>
          <w:b w:val="0"/>
          <w:i/>
          <w:color w:val="6B6D70"/>
          <w:sz w:val="15"/>
        </w:rPr>
        <w:t>Scores as supplied by the assessing consultant.</w:t>
      </w:r>
      <w:r>
        <w:rPr>
          <w:rFonts w:ascii="Calibri" w:hAnsi="Calibri" w:eastAsia="Calibri"/>
          <w:b w:val="0"/>
          <w:i/>
          <w:color w:val="6B6D70"/>
          <w:sz w:val="15"/>
        </w:rPr>
        <w:t xml:space="preserve">  Source: Personality questionnaire completed 9 September 2026, debriefed by the consultant.</w:t>
      </w:r>
    </w:p>
    <w:p>
      <w:pPr>
        <w:keepNext/>
        <w:pageBreakBefore/>
        <w:spacing w:before="0" w:after="100"/>
        <w:pBdr>
          <w:bottom w:val="single" w:sz="6" w:space="3" w:color="DFE0E1"/>
        </w:pBdr>
      </w:pPr>
      <w:r>
        <w:rPr>
          <w:rFonts w:ascii="Cambria" w:hAnsi="Cambria" w:eastAsia="Cambria"/>
          <w:b w:val="0"/>
          <w:i w:val="0"/>
          <w:color w:val="2E3338"/>
          <w:sz w:val="30"/>
        </w:rPr>
        <w:t>Strengths, development areas and risks</w:t>
      </w:r>
    </w:p>
    <w:tbl>
      <w:tblPr>
        <w:tblLook w:firstColumn="1" w:firstRow="1" w:lastColumn="0" w:lastRow="0" w:noHBand="0" w:noVBand="1" w:val="04A0"/>
        <w:tblW w:w="9864"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3156"/>
        <w:gridCol w:w="198"/>
        <w:gridCol w:w="3156"/>
        <w:gridCol w:w="198"/>
        <w:gridCol w:w="3156"/>
      </w:tblGrid>
      <w:tr>
        <w:tc>
          <w:tcPr>
            <w:tcW w:type="dxa" w:w="3156"/>
            <w:tcBorders>
              <w:top w:val="single" w:sz="24" w:space="0" w:color="2E3338"/>
            </w:tcBorders>
            <w:shd w:val="clear" w:color="auto" w:fill="F1F2F3"/>
            <w:tcMar>
              <w:top w:w="110" w:type="dxa"/>
              <w:left w:w="170" w:type="dxa"/>
              <w:bottom w:w="60" w:type="dxa"/>
              <w:right w:w="170" w:type="dxa"/>
            </w:tcMar>
          </w:tcPr>
          <w:p>
            <w:r>
              <w:rPr>
                <w:rFonts w:ascii="Cambria" w:hAnsi="Cambria" w:eastAsia="Cambria"/>
                <w:b w:val="0"/>
                <w:i w:val="0"/>
                <w:color w:val="2E3338"/>
                <w:sz w:val="23"/>
              </w:rPr>
              <w:t>Strengths</w:t>
            </w:r>
          </w:p>
        </w:tc>
        <w:tc>
          <w:tcPr>
            <w:tcW w:type="dxa" w:w="198"/>
          </w:tcPr>
          <w:p/>
        </w:tc>
        <w:tc>
          <w:tcPr>
            <w:tcW w:type="dxa" w:w="3156"/>
            <w:tcBorders>
              <w:top w:val="single" w:sz="24" w:space="0" w:color="5F6B77"/>
            </w:tcBorders>
            <w:shd w:val="clear" w:color="auto" w:fill="F1F2F3"/>
            <w:tcMar>
              <w:top w:w="110" w:type="dxa"/>
              <w:left w:w="170" w:type="dxa"/>
              <w:bottom w:w="60" w:type="dxa"/>
              <w:right w:w="170" w:type="dxa"/>
            </w:tcMar>
          </w:tcPr>
          <w:p>
            <w:r>
              <w:rPr>
                <w:rFonts w:ascii="Cambria" w:hAnsi="Cambria" w:eastAsia="Cambria"/>
                <w:b w:val="0"/>
                <w:i w:val="0"/>
                <w:color w:val="2E3338"/>
                <w:sz w:val="23"/>
              </w:rPr>
              <w:t>Development areas</w:t>
            </w:r>
          </w:p>
        </w:tc>
        <w:tc>
          <w:tcPr>
            <w:tcW w:type="dxa" w:w="198"/>
          </w:tcPr>
          <w:p/>
        </w:tc>
        <w:tc>
          <w:tcPr>
            <w:tcW w:type="dxa" w:w="3156"/>
            <w:tcBorders>
              <w:top w:val="single" w:sz="24" w:space="0" w:color="6B6D70"/>
            </w:tcBorders>
            <w:shd w:val="clear" w:color="auto" w:fill="F1F2F3"/>
            <w:tcMar>
              <w:top w:w="110" w:type="dxa"/>
              <w:left w:w="170" w:type="dxa"/>
              <w:bottom w:w="60" w:type="dxa"/>
              <w:right w:w="170" w:type="dxa"/>
            </w:tcMar>
          </w:tcPr>
          <w:p>
            <w:r>
              <w:rPr>
                <w:rFonts w:ascii="Cambria" w:hAnsi="Cambria" w:eastAsia="Cambria"/>
                <w:b w:val="0"/>
                <w:i w:val="0"/>
                <w:color w:val="2E3338"/>
                <w:sz w:val="23"/>
              </w:rPr>
              <w:t>Risks and mitigations</w:t>
            </w:r>
          </w:p>
        </w:tc>
      </w:tr>
      <w:tr>
        <w:tc>
          <w:tcPr>
            <w:tcW w:type="dxa" w:w="3156"/>
            <w:shd w:val="clear" w:color="auto" w:fill="F1F2F3"/>
            <w:tcMar>
              <w:top w:w="20" w:type="dxa"/>
              <w:left w:w="170" w:type="dxa"/>
              <w:bottom w:w="150" w:type="dxa"/>
              <w:right w:w="170" w:type="dxa"/>
            </w:tcMar>
          </w:tcPr>
          <w:p>
            <w:pPr>
              <w:pStyle w:val="ListBullet"/>
              <w:spacing w:before="0" w:after="80"/>
              <w:ind w:left="227" w:hanging="170"/>
            </w:pPr>
            <w:r>
              <w:rPr>
                <w:rFonts w:ascii="Calibri" w:hAnsi="Calibri" w:eastAsia="Calibri"/>
                <w:b w:val="0"/>
                <w:i w:val="0"/>
                <w:sz w:val="18"/>
              </w:rPr>
              <w:t xml:space="preserve">Proven integrator: two post-M&amp;A integrations delivered on time, with service levels held above 97% throughout.</w:t>
            </w:r>
          </w:p>
          <w:p>
            <w:pPr>
              <w:pStyle w:val="ListBullet"/>
              <w:spacing w:before="0" w:after="80"/>
              <w:ind w:left="227" w:hanging="170"/>
            </w:pPr>
            <w:r>
              <w:rPr>
                <w:rFonts w:ascii="Calibri" w:hAnsi="Calibri" w:eastAsia="Calibri"/>
                <w:b w:val="0"/>
                <w:i w:val="0"/>
                <w:sz w:val="18"/>
              </w:rPr>
              <w:t xml:space="preserve">Builds leadership depth; two of her site leaders have been promoted into regional director roles.</w:t>
            </w:r>
          </w:p>
          <w:p>
            <w:pPr>
              <w:pStyle w:val="ListBullet"/>
              <w:spacing w:before="0" w:after="80"/>
              <w:ind w:left="227" w:hanging="170"/>
            </w:pPr>
            <w:r>
              <w:rPr>
                <w:rFonts w:ascii="Calibri" w:hAnsi="Calibri" w:eastAsia="Calibri"/>
                <w:b w:val="0"/>
                <w:i w:val="0"/>
                <w:sz w:val="18"/>
              </w:rPr>
              <w:t xml:space="preserve">Brings rigour to operational data, turning weekly performance packs into decisions rather than reports.</w:t>
            </w:r>
          </w:p>
          <w:p>
            <w:pPr>
              <w:pStyle w:val="ListBullet"/>
              <w:spacing w:before="0" w:after="80"/>
              <w:ind w:left="227" w:hanging="170"/>
            </w:pPr>
            <w:r>
              <w:rPr>
                <w:rFonts w:ascii="Calibri" w:hAnsi="Calibri" w:eastAsia="Calibri"/>
                <w:b w:val="0"/>
                <w:i w:val="0"/>
                <w:sz w:val="18"/>
              </w:rPr>
              <w:t xml:space="preserve">Credible with front-line teams; references describe a visible, hands-on leader who is respected on the floor.</w:t>
            </w:r>
          </w:p>
        </w:tc>
        <w:tc>
          <w:tcPr>
            <w:tcW w:type="dxa" w:w="198"/>
          </w:tcPr>
          <w:p/>
        </w:tc>
        <w:tc>
          <w:tcPr>
            <w:tcW w:type="dxa" w:w="3156"/>
            <w:shd w:val="clear" w:color="auto" w:fill="F1F2F3"/>
            <w:tcMar>
              <w:top w:w="20" w:type="dxa"/>
              <w:left w:w="170" w:type="dxa"/>
              <w:bottom w:w="150" w:type="dxa"/>
              <w:right w:w="170" w:type="dxa"/>
            </w:tcMar>
          </w:tcPr>
          <w:p>
            <w:pPr>
              <w:pStyle w:val="ListBullet"/>
              <w:spacing w:before="0" w:after="80"/>
              <w:ind w:left="227" w:hanging="170"/>
            </w:pPr>
            <w:r>
              <w:rPr>
                <w:rFonts w:ascii="Calibri" w:hAnsi="Calibri" w:eastAsia="Calibri"/>
                <w:b w:val="0"/>
                <w:i w:val="0"/>
                <w:sz w:val="18"/>
              </w:rPr>
              <w:t xml:space="preserve">Board presence: needs to lead the narrative in the boardroom rather than rely on CEO sponsorship.</w:t>
            </w:r>
          </w:p>
          <w:p>
            <w:pPr>
              <w:pStyle w:val="ListBullet"/>
              <w:spacing w:before="0" w:after="80"/>
              <w:ind w:left="227" w:hanging="170"/>
            </w:pPr>
            <w:r>
              <w:rPr>
                <w:rFonts w:ascii="Calibri" w:hAnsi="Calibri" w:eastAsia="Calibri"/>
                <w:b w:val="0"/>
                <w:i w:val="0"/>
                <w:sz w:val="18"/>
              </w:rPr>
              <w:t xml:space="preserve">Commercial exposure is operational; limited direct experience of pricing, tenders and key-account negotiation.</w:t>
            </w:r>
          </w:p>
          <w:p>
            <w:pPr>
              <w:pStyle w:val="ListBullet"/>
              <w:spacing w:before="0" w:after="80"/>
              <w:ind w:left="227" w:hanging="170"/>
            </w:pPr>
            <w:r>
              <w:rPr>
                <w:rFonts w:ascii="Calibri" w:hAnsi="Calibri" w:eastAsia="Calibri"/>
                <w:b w:val="0"/>
                <w:i w:val="0"/>
                <w:sz w:val="18"/>
              </w:rPr>
              <w:t xml:space="preserve">Prefers proven solutions; would benefit from a deliberate mechanism for testing new ideas at pace.</w:t>
            </w:r>
          </w:p>
        </w:tc>
        <w:tc>
          <w:tcPr>
            <w:tcW w:type="dxa" w:w="198"/>
          </w:tcPr>
          <w:p/>
        </w:tc>
        <w:tc>
          <w:tcPr>
            <w:tcW w:type="dxa" w:w="3156"/>
            <w:shd w:val="clear" w:color="auto" w:fill="F1F2F3"/>
            <w:tcMar>
              <w:top w:w="20" w:type="dxa"/>
              <w:left w:w="170" w:type="dxa"/>
              <w:bottom w:w="150" w:type="dxa"/>
              <w:right w:w="170" w:type="dxa"/>
            </w:tcMar>
          </w:tcPr>
          <w:p>
            <w:pPr>
              <w:pStyle w:val="ListBullet"/>
              <w:spacing w:before="0" w:after="80"/>
              <w:ind w:left="227" w:hanging="170"/>
            </w:pPr>
            <w:r>
              <w:rPr>
                <w:rFonts w:ascii="Calibri" w:hAnsi="Calibri" w:eastAsia="Calibri"/>
                <w:b w:val="0"/>
                <w:i w:val="0"/>
                <w:sz w:val="18"/>
              </w:rPr>
              <w:t xml:space="preserve">First group COO role at a larger scale; mitigated by a structured 100-day plan and an experienced chair as mentor.</w:t>
            </w:r>
          </w:p>
          <w:p>
            <w:pPr>
              <w:pStyle w:val="ListBullet"/>
              <w:spacing w:before="0" w:after="80"/>
              <w:ind w:left="227" w:hanging="170"/>
            </w:pPr>
            <w:r>
              <w:rPr>
                <w:rFonts w:ascii="Calibri" w:hAnsi="Calibri" w:eastAsia="Calibri"/>
                <w:b w:val="0"/>
                <w:i w:val="0"/>
                <w:sz w:val="18"/>
              </w:rPr>
              <w:t xml:space="preserve">Relocation from Leeds to London is not yet agreed; mitigated by a hybrid pattern for the first six months.</w:t>
            </w:r>
          </w:p>
        </w:tc>
      </w:tr>
    </w:tbl>
    <w:p>
      <w:pPr>
        <w:keepNext/>
        <w:spacing w:before="320" w:after="100"/>
        <w:pBdr>
          <w:bottom w:val="single" w:sz="6" w:space="3" w:color="DFE0E1"/>
        </w:pBdr>
      </w:pPr>
      <w:r>
        <w:rPr>
          <w:rFonts w:ascii="Cambria" w:hAnsi="Cambria" w:eastAsia="Cambria"/>
          <w:b w:val="0"/>
          <w:i w:val="0"/>
          <w:color w:val="2E3338"/>
          <w:sz w:val="30"/>
        </w:rPr>
        <w:t>Recommendation and readiness</w:t>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9866"/>
      </w:tblGrid>
      <w:tr>
        <w:tc>
          <w:tcPr>
            <w:tcW w:type="dxa" w:w="9866"/>
            <w:shd w:val="clear" w:color="auto" w:fill="F1F2F3"/>
            <w:tcBorders>
              <w:left w:val="single" w:sz="36" w:space="0" w:color="5F6B77"/>
            </w:tcBorders>
            <w:tcMar>
              <w:top w:w="200" w:type="dxa"/>
              <w:left w:w="300" w:type="dxa"/>
              <w:bottom w:w="220" w:type="dxa"/>
              <w:right w:w="300" w:type="dxa"/>
            </w:tcMar>
          </w:tcPr>
          <w:p>
            <w:pPr>
              <w:spacing w:before="0" w:after="80"/>
            </w:pPr>
            <w:r>
              <w:rPr>
                <w:rFonts w:ascii="Cambria" w:hAnsi="Cambria" w:eastAsia="Cambria"/>
                <w:b w:val="0"/>
                <w:i w:val="0"/>
                <w:color w:val="2E3338"/>
                <w:sz w:val="28"/>
              </w:rPr>
              <w:t xml:space="preserve">Proceed to final interview</w:t>
            </w:r>
          </w:p>
          <w:p>
            <w:pPr>
              <w:spacing w:before="0" w:after="0"/>
              <w:jc w:val="both"/>
            </w:pPr>
            <w:r>
              <w:rPr>
                <w:rFonts w:ascii="Calibri" w:hAnsi="Calibri" w:eastAsia="Calibri"/>
                <w:b w:val="0"/>
                <w:i w:val="0"/>
                <w:sz w:val="20"/>
              </w:rPr>
              <w:t xml:space="preserve">Eleanor is the strongest operational candidate on the shortlist and fits Halden Group's transformation agenda closely. Her execution record and integration experience are exceptional; board presence and commercial breadth are the areas to test. We recommend she meets the Chair and CFO at final interview, with a case study on the network consolidation plan.</w:t>
            </w:r>
          </w:p>
        </w:tc>
      </w:tr>
    </w:tbl>
    <w:p>
      <w:pPr>
        <w:spacing w:before="0" w:after="0" w:line="160" w:lineRule="exact"/>
      </w:pPr>
      <w:r>
        <w:rPr>
          <w:rFonts w:ascii="Calibri" w:hAnsi="Calibri" w:eastAsia="Calibri"/>
          <w:b w:val="0"/>
          <w:i w:val="0"/>
          <w:sz w:val="2"/>
        </w:rPr>
      </w:r>
    </w:p>
    <w:tbl>
      <w:tblPr>
        <w:tblLook w:firstColumn="1" w:firstRow="1" w:lastColumn="0" w:lastRow="0" w:noHBand="0" w:noVBand="1" w:val="04A0"/>
        <w:tblW w:w="9866" w:type="dxa"/>
        <w:tblLayout w:type="fixed"/>
        <w:jc w:val="left"/>
        <w:tblBorders>
          <w:top w:val="nil"/>
          <w:left w:val="nil"/>
          <w:bottom w:val="nil"/>
          <w:right w:val="nil"/>
          <w:insideH w:val="nil"/>
          <w:insideV w:val="nil"/>
        </w:tblBorders>
        <w:tblCellMar>
          <w:top w:w="0" w:type="dxa"/>
          <w:left w:w="0" w:type="dxa"/>
          <w:bottom w:w="0" w:type="dxa"/>
          <w:right w:w="0" w:type="dxa"/>
        </w:tblCellMar>
      </w:tblPr>
      <w:tblGrid>
        <w:gridCol w:w="2438"/>
        <w:gridCol w:w="227"/>
        <w:gridCol w:w="7201"/>
      </w:tblGrid>
      <w:tr>
        <w:tc>
          <w:tcPr>
            <w:shd w:val="clear" w:color="auto" w:fill="2E3338"/>
            <w:tcW w:type="dxa" w:w="2438"/>
            <w:tcMar>
              <w:top w:w="90" w:type="dxa"/>
              <w:left w:w="160" w:type="dxa"/>
              <w:bottom w:w="100" w:type="dxa"/>
              <w:right w:w="160" w:type="dxa"/>
            </w:tcMar>
            <w:vAlign w:val="center"/>
          </w:tcPr>
          <w:p>
            <w:pPr>
              <w:jc w:val="center"/>
            </w:pPr>
            <w:r>
              <w:rPr>
                <w:rFonts w:ascii="Calibri" w:hAnsi="Calibri" w:eastAsia="Calibri"/>
                <w:b/>
                <w:i w:val="0"/>
                <w:color w:val="FFFFFF"/>
                <w:sz w:val="20"/>
              </w:rPr>
              <w:t xml:space="preserve">Ready now</w:t>
            </w:r>
          </w:p>
        </w:tc>
        <w:tc>
          <w:tcPr>
            <w:tcW w:type="dxa" w:w="227"/>
          </w:tcPr>
          <w:p/>
        </w:tc>
        <w:tc>
          <w:tcPr>
            <w:tcW w:type="dxa" w:w="7201"/>
            <w:vAlign w:val="center"/>
          </w:tcPr>
          <w:p>
            <w:r>
              <w:rPr>
                <w:rFonts w:ascii="Calibri" w:hAnsi="Calibri" w:eastAsia="Calibri"/>
                <w:b w:val="0"/>
                <w:i w:val="0"/>
                <w:color w:val="1F2226"/>
                <w:sz w:val="19"/>
              </w:rPr>
              <w:t xml:space="preserve">Ready to step into the COO role with a mentoring chair and clear commercial support from the CFO.</w:t>
            </w:r>
          </w:p>
        </w:tc>
      </w:tr>
    </w:tbl>
    <w:p>
      <w:pPr>
        <w:spacing w:before="100" w:after="0"/>
      </w:pPr>
      <w:r>
        <w:rPr>
          <w:rFonts w:ascii="Calibri" w:hAnsi="Calibri" w:eastAsia="Calibri"/>
          <w:b/>
          <w:i w:val="0"/>
          <w:color w:val="5F6B77"/>
          <w:sz w:val="15"/>
        </w:rPr>
        <w:t xml:space="preserve">Readiness key:  </w:t>
      </w:r>
      <w:r>
        <w:rPr>
          <w:rFonts w:ascii="Calibri" w:hAnsi="Calibri" w:eastAsia="Calibri"/>
          <w:b w:val="0"/>
          <w:i w:val="0"/>
          <w:color w:val="2E3338"/>
          <w:sz w:val="18"/>
        </w:rPr>
        <w:t xml:space="preserve">■ </w:t>
      </w:r>
      <w:r>
        <w:rPr>
          <w:rFonts w:ascii="Calibri" w:hAnsi="Calibri" w:eastAsia="Calibri"/>
          <w:b w:val="0"/>
          <w:i w:val="0"/>
          <w:color w:val="6B6D70"/>
          <w:sz w:val="15"/>
        </w:rPr>
        <w:t xml:space="preserve">Ready now     </w:t>
      </w:r>
      <w:r>
        <w:rPr>
          <w:rFonts w:ascii="Calibri" w:hAnsi="Calibri" w:eastAsia="Calibri"/>
          <w:b w:val="0"/>
          <w:i w:val="0"/>
          <w:color w:val="5F6B77"/>
          <w:sz w:val="18"/>
        </w:rPr>
        <w:t xml:space="preserve">■ </w:t>
      </w:r>
      <w:r>
        <w:rPr>
          <w:rFonts w:ascii="Calibri" w:hAnsi="Calibri" w:eastAsia="Calibri"/>
          <w:b w:val="0"/>
          <w:i w:val="0"/>
          <w:color w:val="6B6D70"/>
          <w:sz w:val="15"/>
        </w:rPr>
        <w:t xml:space="preserve">Ready in 1-2 years     </w:t>
      </w:r>
      <w:r>
        <w:rPr>
          <w:rFonts w:ascii="Calibri" w:hAnsi="Calibri" w:eastAsia="Calibri"/>
          <w:b w:val="0"/>
          <w:i w:val="0"/>
          <w:color w:val="6B6D70"/>
          <w:sz w:val="18"/>
        </w:rPr>
        <w:t xml:space="preserve">■ </w:t>
      </w:r>
      <w:r>
        <w:rPr>
          <w:rFonts w:ascii="Calibri" w:hAnsi="Calibri" w:eastAsia="Calibri"/>
          <w:b w:val="0"/>
          <w:i w:val="0"/>
          <w:color w:val="6B6D70"/>
          <w:sz w:val="15"/>
        </w:rPr>
        <w:t xml:space="preserve">Ready in 3+ years     </w:t>
      </w:r>
    </w:p>
    <w:p>
      <w:pPr>
        <w:keepNext/>
        <w:spacing w:before="280" w:after="100"/>
        <w:pBdr>
          <w:bottom w:val="single" w:sz="6" w:space="3" w:color="DFE0E1"/>
        </w:pBdr>
      </w:pPr>
      <w:r>
        <w:rPr>
          <w:rFonts w:ascii="Cambria" w:hAnsi="Cambria" w:eastAsia="Cambria"/>
          <w:b w:val="0"/>
          <w:i w:val="0"/>
          <w:color w:val="2E3338"/>
          <w:sz w:val="30"/>
        </w:rPr>
        <w:t>Areas to probe at final interview</w:t>
      </w:r>
    </w:p>
    <w:p>
      <w:pPr>
        <w:pStyle w:val="ListBullet"/>
        <w:spacing w:before="0" w:after="40"/>
        <w:ind w:left="283" w:hanging="198"/>
      </w:pPr>
      <w:r>
        <w:rPr>
          <w:rFonts w:ascii="Calibri" w:hAnsi="Calibri" w:eastAsia="Calibri"/>
          <w:b w:val="0"/>
          <w:i w:val="0"/>
          <w:sz w:val="19"/>
        </w:rPr>
        <w:t xml:space="preserve">How would she lead the board conversation on the network consolidation business case?</w:t>
      </w:r>
    </w:p>
    <w:p>
      <w:pPr>
        <w:pStyle w:val="ListBullet"/>
        <w:spacing w:before="0" w:after="40"/>
        <w:ind w:left="283" w:hanging="198"/>
      </w:pPr>
      <w:r>
        <w:rPr>
          <w:rFonts w:ascii="Calibri" w:hAnsi="Calibri" w:eastAsia="Calibri"/>
          <w:b w:val="0"/>
          <w:i w:val="0"/>
          <w:sz w:val="19"/>
        </w:rPr>
        <w:t xml:space="preserve">Where has she personally led a customer price negotiation or major tender, and what was the outcome?</w:t>
      </w:r>
    </w:p>
    <w:p>
      <w:pPr>
        <w:pStyle w:val="ListBullet"/>
        <w:spacing w:before="0" w:after="40"/>
        <w:ind w:left="283" w:hanging="198"/>
      </w:pPr>
      <w:r>
        <w:rPr>
          <w:rFonts w:ascii="Calibri" w:hAnsi="Calibri" w:eastAsia="Calibri"/>
          <w:b w:val="0"/>
          <w:i w:val="0"/>
          <w:sz w:val="19"/>
        </w:rPr>
        <w:t xml:space="preserve">What would her first 100 days look like, and which decisions would she take before understanding the whole business?</w:t>
      </w:r>
    </w:p>
    <w:p>
      <w:pPr>
        <w:keepNext/>
        <w:spacing w:before="320" w:after="60"/>
        <w:pBdr>
          <w:top w:val="single" w:sz="6" w:space="8" w:color="DFE0E1"/>
        </w:pBdr>
      </w:pPr>
      <w:r>
        <w:rPr>
          <w:rFonts w:ascii="Calibri" w:hAnsi="Calibri" w:eastAsia="Calibri"/>
          <w:b/>
          <w:i w:val="0"/>
          <w:color w:val="2E3338"/>
          <w:sz w:val="19"/>
        </w:rPr>
        <w:t xml:space="preserve">Assessed by Priya Raman</w:t>
      </w:r>
      <w:r>
        <w:rPr>
          <w:rFonts w:ascii="Calibri" w:hAnsi="Calibri" w:eastAsia="Calibri"/>
          <w:b w:val="0"/>
          <w:i w:val="0"/>
          <w:color w:val="6B6D70"/>
          <w:sz w:val="19"/>
        </w:rPr>
        <w:t xml:space="preserve">  ·  18 September 2026</w:t>
      </w:r>
    </w:p>
    <w:p>
      <w:pPr>
        <w:spacing w:before="0" w:after="0"/>
        <w:jc w:val="both"/>
      </w:pPr>
      <w:r>
        <w:rPr>
          <w:rFonts w:ascii="Calibri" w:hAnsi="Calibri" w:eastAsia="Calibri"/>
          <w:b w:val="0"/>
          <w:i w:val="0"/>
          <w:color w:val="6B6D70"/>
          <w:sz w:val="15"/>
        </w:rPr>
        <w:t xml:space="preserve">Confidentiality. This report contains personal data and professional opinion. It is provided in confidence to Halden Group solely to support the appointment decision for this role. It must not be shared with the candidate or any third party without the consultant's consent, and should be securely deleted once the appointment decision has been made.</w:t>
      </w:r>
    </w:p>
    <w:sectPr w:rsidR="00FC693F" w:rsidRPr="0006063C" w:rsidSect="00034616">
      <w:headerReference w:type="default" r:id="rId9"/>
      <w:footerReference w:type="default" r:id="rId10"/>
      <w:pgSz w:w="11906" w:h="16838"/>
      <w:pgMar w:top="1077" w:right="1020" w:bottom="964" w:left="1020" w:header="454"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Bdr>
        <w:top w:val="single" w:sz="6" w:space="6" w:color="DFE0E1"/>
      </w:pBdr>
    </w:pPr>
    <w:r/>
    <w:r>
      <w:rPr>
        <w:rFonts w:ascii="Calibri" w:hAnsi="Calibri" w:eastAsia="Calibri"/>
        <w:b w:val="0"/>
        <w:i w:val="0"/>
        <w:color w:val="6B6D70"/>
        <w:sz w:val="14"/>
      </w:rPr>
      <w:t>Strictly private and confidential. Prepared for the named client only; not to be shared with the candidate or any third party.</w:t>
    </w:r>
  </w:p>
  <w:p>
    <w:pPr>
      <w:tabs>
        <w:tab w:pos="9866" w:val="right"/>
      </w:tabs>
    </w:pPr>
    <w:r>
      <w:rPr>
        <w:rFonts w:ascii="Calibri" w:hAnsi="Calibri" w:eastAsia="Calibri"/>
        <w:b w:val="0"/>
        <w:i w:val="0"/>
        <w:color w:val="6B6D70"/>
        <w:sz w:val="14"/>
      </w:rPr>
      <w:t>Template by Formatix.AI — formatix.ai/templates</w:t>
    </w:r>
    <w:r>
      <w:rPr>
        <w:rFonts w:ascii="Calibri" w:hAnsi="Calibri" w:eastAsia="Calibri"/>
        <w:b w:val="0"/>
        <w:i w:val="0"/>
        <w:sz w:val="14"/>
      </w:rPr>
      <w:tab/>
    </w:r>
    <w:r>
      <w:rPr>
        <w:rFonts w:ascii="Calibri" w:hAnsi="Calibri" w:eastAsia="Calibri"/>
        <w:b w:val="0"/>
        <w:i w:val="0"/>
        <w:color w:val="6B6D70"/>
        <w:sz w:val="14"/>
      </w:rPr>
      <w:t xml:space="preserve">Page </w:t>
    </w:r>
    <w:r>
      <w:rPr>
        <w:rFonts w:ascii="Calibri" w:hAnsi="Calibri"/>
        <w:color w:val="6B6D70"/>
        <w:sz w:val="14"/>
      </w:rPr>
      <w:fldChar w:fldCharType="begin"/>
      <w:instrText xml:space="preserve"> PAGE </w:instrText>
      <w:fldChar w:fldCharType="separate"/>
      <w:t>1</w:t>
      <w:fldChar w:fldCharType="end"/>
    </w:r>
    <w:r>
      <w:rPr>
        <w:rFonts w:ascii="Calibri" w:hAnsi="Calibri" w:eastAsia="Calibri"/>
        <w:b w:val="0"/>
        <w:i w:val="0"/>
        <w:color w:val="6B6D70"/>
        <w:sz w:val="14"/>
      </w:rPr>
      <w:t xml:space="preserve"> of </w:t>
    </w:r>
    <w:r>
      <w:rPr>
        <w:rFonts w:ascii="Calibri" w:hAnsi="Calibri"/>
        <w:color w:val="6B6D70"/>
        <w:sz w:val="14"/>
      </w:rPr>
      <w:fldChar w:fldCharType="begin"/>
      <w:instrText xml:space="preserve"> NUMPAGES </w:instrText>
      <w:fldChar w:fldCharType="separate"/>
      <w:t>1</w: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tabs>
        <w:tab w:pos="9866" w:val="right"/>
      </w:tabs>
      <w:pBdr>
        <w:bottom w:val="single" w:sz="6" w:space="6" w:color="DFE0E1"/>
      </w:pBdr>
    </w:pPr>
    <w:r/>
    <w:r>
      <w:drawing>
        <wp:inline xmlns:a="http://schemas.openxmlformats.org/drawingml/2006/main" xmlns:pic="http://schemas.openxmlformats.org/drawingml/2006/picture">
          <wp:extent cx="792000" cy="198000"/>
          <wp:docPr id="1" name="Picture 1"/>
          <wp:cNvGraphicFramePr>
            <a:graphicFrameLocks noChangeAspect="1"/>
          </wp:cNvGraphicFramePr>
          <a:graphic>
            <a:graphicData uri="http://schemas.openxmlformats.org/drawingml/2006/picture">
              <pic:pic>
                <pic:nvPicPr>
                  <pic:cNvPr id="0" name="your_logo.png"/>
                  <pic:cNvPicPr/>
                </pic:nvPicPr>
                <pic:blipFill>
                  <a:blip r:embed="rId1"/>
                  <a:stretch>
                    <a:fillRect/>
                  </a:stretch>
                </pic:blipFill>
                <pic:spPr>
                  <a:xfrm>
                    <a:off x="0" y="0"/>
                    <a:ext cx="792000" cy="198000"/>
                  </a:xfrm>
                  <a:prstGeom prst="rect"/>
                </pic:spPr>
              </pic:pic>
            </a:graphicData>
          </a:graphic>
        </wp:inline>
      </w:drawing>
    </w:r>
    <w:r>
      <w:rPr>
        <w:rFonts w:ascii="Calibri" w:hAnsi="Calibri" w:eastAsia="Calibri"/>
        <w:b w:val="0"/>
        <w:i w:val="0"/>
      </w:rPr>
      <w:tab/>
    </w:r>
    <w:r>
      <w:rPr>
        <w:rFonts w:ascii="Calibri" w:hAnsi="Calibri" w:eastAsia="Calibri"/>
        <w:b/>
        <w:i w:val="0"/>
        <w:caps/>
        <w:color w:val="5F6B77"/>
        <w:sz w:val="15"/>
        <w:spacing w:val="20"/>
      </w:rPr>
      <w:t>Executive Assessment Report  ·  Strictly confidential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before="0" w:after="0" w:line="259" w:lineRule="auto"/>
    </w:pPr>
    <w:rPr>
      <w:rFonts w:ascii="Calibri" w:hAnsi="Calibri" w:eastAsia="Calibri"/>
      <w:color w:val="1F2226"/>
      <w:sz w:val="20"/>
    </w:rPr>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Calibri" w:hAnsi="Calibri"/>
      <w:color w:val="1F2226"/>
      <w:sz w:val="19"/>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Executive Assessment Report</dc:title>
  <dc:subject>Recruitment template</dc:subject>
  <dc:creator>Your Firm</dc:creator>
  <cp:keywords/>
  <dc:description>Example filled with a fictional candidate. Overwrite it with your own.</dc:description>
  <cp:lastModifiedBy>Your Firm</cp:lastModifiedBy>
  <cp:revision>1</cp:revision>
  <dcterms:created xsi:type="dcterms:W3CDTF">2013-12-23T23:15:00Z</dcterms:created>
  <dcterms:modified xsi:type="dcterms:W3CDTF">2013-12-23T23:15:00Z</dcterms:modified>
  <cp:category>Template</cp:category>
  <dc:identifier/>
  <dc:language/>
</cp:coreProperties>
</file>