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80" w:after="40"/>
      </w:pPr>
      <w:r>
        <w:rPr>
          <w:rFonts w:ascii="Cambria" w:hAnsi="Cambria" w:eastAsia="Cambria" w:cs="Cambria"/>
          <w:b w:val="0"/>
          <w:i w:val="0"/>
          <w:color w:val="2E3338"/>
          <w:sz w:val="54"/>
        </w:rPr>
        <w:t xml:space="preserve">Adaeze Nwosu</w:t>
      </w:r>
    </w:p>
    <w:p>
      <w:pPr>
        <w:spacing w:before="0" w:after="20"/>
      </w:pPr>
      <w:r>
        <w:rPr>
          <w:rFonts w:ascii="Cambria" w:hAnsi="Cambria" w:eastAsia="Cambria" w:cs="Cambria"/>
          <w:b w:val="0"/>
          <w:i/>
          <w:color w:val="5F6B77"/>
          <w:sz w:val="24"/>
        </w:rPr>
        <w:t xml:space="preserve">Head of People · Scale-up technology businesses</w:t>
      </w:r>
    </w:p>
    <w:p>
      <w:pPr>
        <w:spacing w:before="0" w:after="0"/>
      </w:pPr>
      <w:r>
        <w:rPr>
          <w:rFonts w:ascii="Calibri" w:hAnsi="Calibri" w:eastAsia="Calibri" w:cs="Calibri"/>
          <w:b w:val="0"/>
          <w:i w:val="0"/>
          <w:color w:val="6B6D70"/>
          <w:sz w:val="18"/>
        </w:rPr>
        <w:t xml:space="preserve">Leeds</w:t>
      </w:r>
    </w:p>
    <w:p>
      <w:pPr>
        <w:spacing w:before="240" w:after="80"/>
        <w:pBdr>
          <w:top w:val="single" w:sz="6" w:space="8" w:color="5F6B77"/>
          <w:bottom w:val="single" w:sz="6" w:space="8" w:color="5F6B77"/>
        </w:pBdr>
      </w:pPr>
      <w:r>
        <w:rPr>
          <w:rFonts w:ascii="Calibri" w:hAnsi="Calibri" w:eastAsia="Calibri" w:cs="Calibri"/>
          <w:b w:val="0"/>
          <w:i w:val="0"/>
          <w:color w:val="1F2226"/>
          <w:sz w:val="21"/>
        </w:rPr>
        <w:t xml:space="preserve">Adaeze is an HR leader with fourteen years across retail and technology, the last six as the senior people lead in growing software businesses. She builds people teams and processes that keep pace with fast hiring, and has led through an acquisition, a restructure and the move to hybrid working.</w:t>
      </w:r>
    </w:p>
    <w:p>
      <w:pPr>
        <w:keepNext/>
        <w:spacing w:before="280" w:after="160"/>
      </w:pPr>
      <w:r>
        <w:rPr>
          <w:rFonts w:ascii="Cambria" w:hAnsi="Cambria" w:eastAsia="Cambria" w:cs="Cambria"/>
          <w:b w:val="0"/>
          <w:i w:val="0"/>
          <w:color w:val="2E3338"/>
          <w:sz w:val="28"/>
        </w:rPr>
        <w:t>Career timeline</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71"/>
        <w:gridCol w:w="7767"/>
      </w:tblGrid>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2022 – Present</w:t>
            </w:r>
          </w:p>
          <w:p>
            <w:pPr>
              <w:spacing w:before="0" w:after="0"/>
              <w:jc w:val="right"/>
            </w:pPr>
            <w:r>
              <w:rPr>
                <w:rFonts w:ascii="Calibri" w:hAnsi="Calibri" w:eastAsia="Calibri" w:cs="Calibri"/>
                <w:b w:val="0"/>
                <w:i w:val="0"/>
                <w:color w:val="6B6D70"/>
                <w:sz w:val="16"/>
              </w:rPr>
              <w:t xml:space="preserve">Leeds</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Head of People</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01"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Lumen &amp; Lark Software</w:t>
            </w:r>
          </w:p>
          <w:p>
            <w:pPr>
              <w:spacing w:before="0" w:after="40"/>
            </w:pPr>
            <w:r>
              <w:rPr>
                <w:rFonts w:ascii="Calibri" w:hAnsi="Calibri" w:eastAsia="Calibri" w:cs="Calibri"/>
                <w:b w:val="0"/>
                <w:i w:val="0"/>
                <w:color w:val="6B6D70"/>
                <w:sz w:val="19"/>
              </w:rPr>
              <w:t xml:space="preserve">Leads a people team of nine for a 480-person software company, reporting to the CEO.</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Supported growth from 260 to 480 people in two years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a career framework and pay bands for every engineering and product role</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Raised engagement from 64% to 79% favourable in the annual survey</w:t>
            </w:r>
          </w:p>
        </w:tc>
      </w:tr>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2018 – 2022</w:t>
            </w:r>
          </w:p>
          <w:p>
            <w:pPr>
              <w:spacing w:before="0" w:after="0"/>
              <w:jc w:val="right"/>
            </w:pPr>
            <w:r>
              <w:rPr>
                <w:rFonts w:ascii="Calibri" w:hAnsi="Calibri" w:eastAsia="Calibri" w:cs="Calibri"/>
                <w:b w:val="0"/>
                <w:i w:val="0"/>
                <w:color w:val="6B6D70"/>
                <w:sz w:val="16"/>
              </w:rPr>
              <w:t xml:space="preserve">Manchester</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Senior People Partner</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02"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Tarnfield Technology</w:t>
            </w:r>
          </w:p>
          <w:p>
            <w:pPr>
              <w:spacing w:before="0" w:after="40"/>
            </w:pPr>
            <w:r>
              <w:rPr>
                <w:rFonts w:ascii="Calibri" w:hAnsi="Calibri" w:eastAsia="Calibri" w:cs="Calibri"/>
                <w:b w:val="0"/>
                <w:i w:val="0"/>
                <w:color w:val="6B6D70"/>
                <w:sz w:val="19"/>
              </w:rPr>
              <w:t xml:space="preserve">People partner to the product and engineering directors.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Led the people workstream when Tarnfield was acquired, keeping 95% of key staff</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Redesigned the performance review around quarterly conversations</w:t>
            </w:r>
          </w:p>
        </w:tc>
      </w:tr>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2014 – 2018</w:t>
            </w:r>
          </w:p>
          <w:p>
            <w:pPr>
              <w:spacing w:before="0" w:after="0"/>
              <w:jc w:val="right"/>
            </w:pPr>
            <w:r>
              <w:rPr>
                <w:rFonts w:ascii="Calibri" w:hAnsi="Calibri" w:eastAsia="Calibri" w:cs="Calibri"/>
                <w:b w:val="0"/>
                <w:i w:val="0"/>
                <w:color w:val="6B6D70"/>
                <w:sz w:val="16"/>
              </w:rPr>
              <w:t xml:space="preserve">Leeds</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HR Business Partner</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03"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Corvell Retail Group</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Partnered 40 stores and the regional distribution centre</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Ran the consultation for a regional restructure affecting 300 roles</w:t>
            </w:r>
          </w:p>
        </w:tc>
      </w:tr>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2011 – 2014</w:t>
            </w:r>
          </w:p>
          <w:p>
            <w:pPr>
              <w:spacing w:before="0" w:after="0"/>
              <w:jc w:val="right"/>
            </w:pPr>
            <w:r>
              <w:rPr>
                <w:rFonts w:ascii="Calibri" w:hAnsi="Calibri" w:eastAsia="Calibri" w:cs="Calibri"/>
                <w:b w:val="0"/>
                <w:i w:val="0"/>
                <w:color w:val="6B6D70"/>
                <w:sz w:val="16"/>
              </w:rPr>
              <w:t xml:space="preserve">Leeds</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HR Advisor</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04"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Corvell Retail Group</w:t>
            </w:r>
          </w:p>
        </w:tc>
      </w:tr>
    </w:tbl>
    <w:p>
      <w:pPr>
        <w:keepNext/>
        <w:spacing w:before="120" w:after="160"/>
      </w:pPr>
      <w:r>
        <w:rPr>
          <w:rFonts w:ascii="Cambria" w:hAnsi="Cambria" w:eastAsia="Cambria" w:cs="Cambria"/>
          <w:b w:val="0"/>
          <w:i w:val="0"/>
          <w:color w:val="2E3338"/>
          <w:sz w:val="28"/>
        </w:rPr>
        <w:t>Education</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71"/>
        <w:gridCol w:w="7767"/>
      </w:tblGrid>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2013</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0"/>
              </w:rPr>
              <w:t xml:space="preserve">MSc Human Resource Management</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05" name="Timeline dot 902"/>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FFFFFF"/>
                          </a:solidFill>
                          <a:ln w="19050">
                            <a:solidFill>
                              <a:srgbClr val="5F6B77"/>
                            </a:solidFill>
                          </a:ln>
                        </wps:spPr>
                        <wps:bodyPr rot="0" vert="horz" wrap="square" lIns="0" tIns="0" rIns="0" bIns="0" anchor="ctr">
                          <a:noAutofit/>
                        </wps:bodyPr>
                      </wps:wsp>
                    </a:graphicData>
                  </a:graphic>
                </wp:anchor>
              </w:drawing>
            </w:r>
          </w:p>
          <w:p>
            <w:pPr>
              <w:spacing w:before="0" w:after="0"/>
            </w:pPr>
            <w:r>
              <w:rPr>
                <w:rFonts w:ascii="Cambria" w:hAnsi="Cambria" w:eastAsia="Cambria" w:cs="Cambria"/>
                <w:b w:val="0"/>
                <w:i/>
                <w:color w:val="1F2226"/>
                <w:sz w:val="19"/>
              </w:rPr>
              <w:t xml:space="preserve">Leeds Beckett University</w:t>
            </w:r>
          </w:p>
        </w:tc>
      </w:tr>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2010</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0"/>
              </w:rPr>
              <w:t xml:space="preserve">BA (Hons) Psychology</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06" name="Timeline dot 902"/>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FFFFFF"/>
                          </a:solidFill>
                          <a:ln w="19050">
                            <a:solidFill>
                              <a:srgbClr val="5F6B77"/>
                            </a:solidFill>
                          </a:ln>
                        </wps:spPr>
                        <wps:bodyPr rot="0" vert="horz" wrap="square" lIns="0" tIns="0" rIns="0" bIns="0" anchor="ctr">
                          <a:noAutofit/>
                        </wps:bodyPr>
                      </wps:wsp>
                    </a:graphicData>
                  </a:graphic>
                </wp:anchor>
              </w:drawing>
            </w:r>
          </w:p>
          <w:p>
            <w:pPr>
              <w:spacing w:before="0" w:after="0"/>
            </w:pPr>
            <w:r>
              <w:rPr>
                <w:rFonts w:ascii="Cambria" w:hAnsi="Cambria" w:eastAsia="Cambria" w:cs="Cambria"/>
                <w:b w:val="0"/>
                <w:i/>
                <w:color w:val="1F2226"/>
                <w:sz w:val="19"/>
              </w:rPr>
              <w:t xml:space="preserve">University of York</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5143"/>
        <w:gridCol w:w="454"/>
        <w:gridCol w:w="4041"/>
      </w:tblGrid>
      <w:tr>
        <w:trPr>
          <w:cantSplit/>
        </w:trPr>
        <w:tc>
          <w:tcPr>
            <w:tcW w:type="dxa" w:w="5143"/>
            <w:vAlign w:val="top"/>
            <w:tcBorders>
              <w:top w:val="single" w:sz="6" w:space="0" w:color="5F6B77"/>
            </w:tcBorders>
            <w:tcMar>
              <w:top w:w="140" w:type="dxa"/>
              <w:left w:w="0" w:type="dxa"/>
              <w:bottom w:w="0" w:type="dxa"/>
              <w:right w:w="0" w:type="dxa"/>
            </w:tcMar>
          </w:tcPr>
          <w:p>
            <w:pPr>
              <w:keepNext/>
              <w:spacing w:before="0" w:after="60"/>
            </w:pPr>
            <w:r>
              <w:rPr>
                <w:rFonts w:ascii="Calibri" w:hAnsi="Calibri" w:eastAsia="Calibri" w:cs="Calibri"/>
                <w:b/>
                <w:i w:val="0"/>
                <w:caps/>
                <w:color w:val="5F6B77"/>
                <w:sz w:val="15"/>
                <w:spacing w:val="30"/>
              </w:rPr>
              <w:t>Skills</w:t>
            </w:r>
          </w:p>
          <w:p>
            <w:pPr>
              <w:spacing w:before="0" w:after="0"/>
            </w:pPr>
            <w:r>
              <w:rPr>
                <w:rFonts w:ascii="Calibri" w:hAnsi="Calibri" w:eastAsia="Calibri" w:cs="Calibri"/>
                <w:b w:val="0"/>
                <w:i w:val="0"/>
                <w:sz w:val="19"/>
              </w:rPr>
              <w:t xml:space="preserve">Organisation design  ·  Reward and pay frameworks  ·  Employee relations  ·  M&amp;A integration  ·  Engagement  ·  Leadership development</w:t>
            </w:r>
          </w:p>
          <w:p>
            <w:pPr>
              <w:spacing w:before="0" w:after="0" w:line="2" w:lineRule="exact"/>
            </w:pPr>
            <w:r>
              <w:rPr>
                <w:rFonts w:ascii="Calibri" w:hAnsi="Calibri" w:eastAsia="Calibri" w:cs="Calibri"/>
                <w:b w:val="0"/>
                <w:i w:val="0"/>
                <w:sz w:val="2"/>
              </w:rPr>
            </w:r>
          </w:p>
        </w:tc>
        <w:tc>
          <w:tcPr>
            <w:tcW w:type="dxa" w:w="454"/>
          </w:tcPr>
          <w:p/>
        </w:tc>
        <w:tc>
          <w:tcPr>
            <w:tcW w:type="dxa" w:w="4041"/>
            <w:vAlign w:val="top"/>
            <w:tcBorders>
              <w:top w:val="single" w:sz="6" w:space="0" w:color="5F6B77"/>
            </w:tcBorders>
            <w:tcMar>
              <w:top w:w="140" w:type="dxa"/>
              <w:left w:w="0" w:type="dxa"/>
              <w:bottom w:w="0" w:type="dxa"/>
              <w:right w:w="0" w:type="dxa"/>
            </w:tcMar>
          </w:tcPr>
          <w:p>
            <w:pPr>
              <w:spacing w:line="20" w:lineRule="exact"/>
            </w:pPr>
            <w:r>
              <w:rPr>
                <w:rFonts w:ascii="Calibri" w:hAnsi="Calibri" w:eastAsia="Calibri" w:cs="Calibri"/>
                <w:b w:val="0"/>
                <w:i w:val="0"/>
                <w:sz w:val="2"/>
              </w:rPr>
            </w:r>
          </w:p>
          <w:p>
            <w:pPr>
              <w:keepNext/>
              <w:spacing w:before="0" w:after="60"/>
            </w:pPr>
            <w:r>
              <w:rPr>
                <w:rFonts w:ascii="Calibri" w:hAnsi="Calibri" w:eastAsia="Calibri" w:cs="Calibri"/>
                <w:b/>
                <w:i w:val="0"/>
                <w:caps/>
                <w:color w:val="5F6B77"/>
                <w:sz w:val="15"/>
                <w:spacing w:val="30"/>
              </w:rPr>
              <w:t>Certifications</w:t>
            </w:r>
          </w:p>
          <w:p>
            <w:pPr>
              <w:spacing w:before="0" w:after="20"/>
            </w:pPr>
            <w:r>
              <w:rPr>
                <w:rFonts w:ascii="Calibri" w:hAnsi="Calibri" w:eastAsia="Calibri" w:cs="Calibri"/>
                <w:b w:val="0"/>
                <w:i w:val="0"/>
                <w:sz w:val="19"/>
              </w:rPr>
              <w:t xml:space="preserve">Chartered MCIPD (2016)</w:t>
            </w:r>
          </w:p>
          <w:p>
            <w:pPr>
              <w:spacing w:before="0" w:after="0" w:line="120" w:lineRule="exact"/>
            </w:pPr>
            <w:r>
              <w:rPr>
                <w:rFonts w:ascii="Calibri" w:hAnsi="Calibri" w:eastAsia="Calibri" w:cs="Calibri"/>
                <w:b w:val="0"/>
                <w:i w:val="0"/>
                <w:sz w:val="2"/>
              </w:rPr>
            </w:r>
          </w:p>
          <w:p>
            <w:pPr>
              <w:keepNext/>
              <w:spacing w:before="0" w:after="60"/>
            </w:pPr>
            <w:r>
              <w:rPr>
                <w:rFonts w:ascii="Calibri" w:hAnsi="Calibri" w:eastAsia="Calibri" w:cs="Calibri"/>
                <w:b/>
                <w:i w:val="0"/>
                <w:caps/>
                <w:color w:val="5F6B77"/>
                <w:sz w:val="15"/>
                <w:spacing w:val="30"/>
              </w:rPr>
              <w:t>Languages</w:t>
            </w:r>
          </w:p>
          <w:p>
            <w:pPr>
              <w:spacing w:before="0" w:after="20"/>
            </w:pPr>
            <w:r>
              <w:rPr>
                <w:rFonts w:ascii="Calibri" w:hAnsi="Calibri" w:eastAsia="Calibri" w:cs="Calibri"/>
                <w:b w:val="0"/>
                <w:i w:val="0"/>
                <w:sz w:val="19"/>
              </w:rPr>
              <w:t xml:space="preserve">English (native)</w:t>
            </w:r>
          </w:p>
          <w:p>
            <w:pPr>
              <w:spacing w:before="0" w:after="20"/>
            </w:pPr>
            <w:r>
              <w:rPr>
                <w:rFonts w:ascii="Calibri" w:hAnsi="Calibri" w:eastAsia="Calibri" w:cs="Calibri"/>
                <w:b w:val="0"/>
                <w:i w:val="0"/>
                <w:sz w:val="19"/>
              </w:rPr>
              <w:t xml:space="preserve">Igbo (conversational)</w:t>
            </w:r>
          </w:p>
          <w:p>
            <w:pPr>
              <w:spacing w:before="0" w:after="0" w:line="120" w:lineRule="exact"/>
            </w:pPr>
            <w:r>
              <w:rPr>
                <w:rFonts w:ascii="Calibri" w:hAnsi="Calibri" w:eastAsia="Calibri" w:cs="Calibri"/>
                <w:b w:val="0"/>
                <w:i w:val="0"/>
                <w:sz w:val="2"/>
              </w:rPr>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80" w:after="40"/>
      </w:pPr>
      <w:r>
        <w:rPr>
          <w:rFonts w:ascii="Cambria" w:hAnsi="Cambria" w:eastAsia="Cambria" w:cs="Cambria"/>
          <w:b w:val="0"/>
          <w:i w:val="0"/>
          <w:color w:val="2E3338"/>
          <w:sz w:val="54"/>
        </w:rPr>
        <w:t xml:space="preserve">Mariam Haddad</w:t>
      </w:r>
    </w:p>
    <w:p>
      <w:pPr>
        <w:spacing w:before="0" w:after="20"/>
      </w:pPr>
      <w:r>
        <w:rPr>
          <w:rFonts w:ascii="Cambria" w:hAnsi="Cambria" w:eastAsia="Cambria" w:cs="Cambria"/>
          <w:b w:val="0"/>
          <w:i/>
          <w:color w:val="5F6B77"/>
          <w:sz w:val="24"/>
        </w:rPr>
        <w:t xml:space="preserve">Head of Procurement · Pharmaceuticals and life sciences</w:t>
      </w:r>
    </w:p>
    <w:p>
      <w:pPr>
        <w:spacing w:before="0" w:after="0"/>
      </w:pPr>
      <w:r>
        <w:rPr>
          <w:rFonts w:ascii="Calibri" w:hAnsi="Calibri" w:eastAsia="Calibri" w:cs="Calibri"/>
          <w:b w:val="0"/>
          <w:i w:val="0"/>
          <w:color w:val="6B6D70"/>
          <w:sz w:val="18"/>
        </w:rPr>
        <w:t xml:space="preserve">Cambridge</w:t>
      </w:r>
    </w:p>
    <w:p>
      <w:pPr>
        <w:spacing w:before="240" w:after="80"/>
        <w:pBdr>
          <w:top w:val="single" w:sz="6" w:space="8" w:color="5F6B77"/>
          <w:bottom w:val="single" w:sz="6" w:space="8" w:color="5F6B77"/>
        </w:pBdr>
      </w:pPr>
      <w:r>
        <w:rPr>
          <w:rFonts w:ascii="Calibri" w:hAnsi="Calibri" w:eastAsia="Calibri" w:cs="Calibri"/>
          <w:b w:val="0"/>
          <w:i w:val="0"/>
          <w:color w:val="1F2226"/>
          <w:sz w:val="21"/>
        </w:rPr>
        <w:t xml:space="preserve">Mariam leads procurement in life sciences, with eighteen years across direct and indirect categories and a current spend under management of £310m. She has built category teams, put supplier risk at the centre of sourcing after supply shocks, and delivered savings while keeping manufacturing and clinical supply secure.</w:t>
      </w:r>
    </w:p>
    <w:p>
      <w:pPr>
        <w:keepNext/>
        <w:spacing w:before="280" w:after="160"/>
      </w:pPr>
      <w:r>
        <w:rPr>
          <w:rFonts w:ascii="Cambria" w:hAnsi="Cambria" w:eastAsia="Cambria" w:cs="Cambria"/>
          <w:b w:val="0"/>
          <w:i w:val="0"/>
          <w:color w:val="2E3338"/>
          <w:sz w:val="28"/>
        </w:rPr>
        <w:t>Career timeline</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71"/>
        <w:gridCol w:w="7767"/>
      </w:tblGrid>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2021 – Present</w:t>
            </w:r>
          </w:p>
          <w:p>
            <w:pPr>
              <w:spacing w:before="0" w:after="0"/>
              <w:jc w:val="right"/>
            </w:pPr>
            <w:r>
              <w:rPr>
                <w:rFonts w:ascii="Calibri" w:hAnsi="Calibri" w:eastAsia="Calibri" w:cs="Calibri"/>
                <w:b w:val="0"/>
                <w:i w:val="0"/>
                <w:color w:val="6B6D70"/>
                <w:sz w:val="16"/>
              </w:rPr>
              <w:t xml:space="preserve">Cambridge</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Head of Procurement</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07"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Thornbury &amp; Vale Pharmaceuticals</w:t>
            </w:r>
          </w:p>
          <w:p>
            <w:pPr>
              <w:spacing w:before="0" w:after="40"/>
            </w:pPr>
            <w:r>
              <w:rPr>
                <w:rFonts w:ascii="Calibri" w:hAnsi="Calibri" w:eastAsia="Calibri" w:cs="Calibri"/>
                <w:b w:val="0"/>
                <w:i w:val="0"/>
                <w:color w:val="6B6D70"/>
                <w:sz w:val="19"/>
              </w:rPr>
              <w:t xml:space="preserve">Leads 28 buyers and category managers across £310m of spend in four countries.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Delivered £21m of savings over three years against a £15m target</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supplier risk scoring for the 200 most critical suppliers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Dual-sourced eleven single-source materials after the 2021 supply disruption</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Moved purchasing for all sites onto one source-to-pay platform</w:t>
            </w:r>
          </w:p>
        </w:tc>
      </w:tr>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2017 – 2021</w:t>
            </w:r>
          </w:p>
          <w:p>
            <w:pPr>
              <w:spacing w:before="0" w:after="0"/>
              <w:jc w:val="right"/>
            </w:pPr>
            <w:r>
              <w:rPr>
                <w:rFonts w:ascii="Calibri" w:hAnsi="Calibri" w:eastAsia="Calibri" w:cs="Calibri"/>
                <w:b w:val="0"/>
                <w:i w:val="0"/>
                <w:color w:val="6B6D70"/>
                <w:sz w:val="16"/>
              </w:rPr>
              <w:t xml:space="preserve">Cambridge</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Category Director, Direct Materials</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08"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Thornbury &amp; Vale Pharmaceuticals</w:t>
            </w:r>
          </w:p>
          <w:p>
            <w:pPr>
              <w:spacing w:before="0" w:after="40"/>
            </w:pPr>
            <w:r>
              <w:rPr>
                <w:rFonts w:ascii="Calibri" w:hAnsi="Calibri" w:eastAsia="Calibri" w:cs="Calibri"/>
                <w:b w:val="0"/>
                <w:i w:val="0"/>
                <w:color w:val="6B6D70"/>
                <w:sz w:val="19"/>
              </w:rPr>
              <w:t xml:space="preserve">Owned active ingredients, excipients and packaging categories.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Renegotiated the three largest API contracts, saving £6.8m a year</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Set up the joint supplier quality programme with the QA team</w:t>
            </w:r>
          </w:p>
        </w:tc>
      </w:tr>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2013 – 2017</w:t>
            </w:r>
          </w:p>
          <w:p>
            <w:pPr>
              <w:spacing w:before="0" w:after="0"/>
              <w:jc w:val="right"/>
            </w:pPr>
            <w:r>
              <w:rPr>
                <w:rFonts w:ascii="Calibri" w:hAnsi="Calibri" w:eastAsia="Calibri" w:cs="Calibri"/>
                <w:b w:val="0"/>
                <w:i w:val="0"/>
                <w:color w:val="6B6D70"/>
                <w:sz w:val="16"/>
              </w:rPr>
              <w:t xml:space="preserve">Oxford</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Senior Category Manager</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09"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Ashgrove Biologics</w:t>
            </w:r>
          </w:p>
          <w:p>
            <w:pPr>
              <w:spacing w:before="0" w:after="40"/>
            </w:pPr>
            <w:r>
              <w:rPr>
                <w:rFonts w:ascii="Calibri" w:hAnsi="Calibri" w:eastAsia="Calibri" w:cs="Calibri"/>
                <w:b w:val="0"/>
                <w:i w:val="0"/>
                <w:color w:val="6B6D70"/>
                <w:sz w:val="19"/>
              </w:rPr>
              <w:t xml:space="preserve">Clinical trial and laboratory categories.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Consolidated clinical research suppliers from 34 to 9 preferred partners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Built the first category plans for laboratory consumables</w:t>
            </w:r>
          </w:p>
        </w:tc>
      </w:tr>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2010 – 2013</w:t>
            </w:r>
          </w:p>
          <w:p>
            <w:pPr>
              <w:spacing w:before="0" w:after="0"/>
              <w:jc w:val="right"/>
            </w:pPr>
            <w:r>
              <w:rPr>
                <w:rFonts w:ascii="Calibri" w:hAnsi="Calibri" w:eastAsia="Calibri" w:cs="Calibri"/>
                <w:b w:val="0"/>
                <w:i w:val="0"/>
                <w:color w:val="6B6D70"/>
                <w:sz w:val="16"/>
              </w:rPr>
              <w:t xml:space="preserve">Oxford</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Category Manager</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10"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Ashgrove Biologics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Managed facilities, IT and professional services categories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e-auctions for indirect categories</w:t>
            </w:r>
          </w:p>
        </w:tc>
      </w:tr>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2006 – 2010</w:t>
            </w:r>
          </w:p>
          <w:p>
            <w:pPr>
              <w:spacing w:before="0" w:after="0"/>
              <w:jc w:val="right"/>
            </w:pPr>
            <w:r>
              <w:rPr>
                <w:rFonts w:ascii="Calibri" w:hAnsi="Calibri" w:eastAsia="Calibri" w:cs="Calibri"/>
                <w:b w:val="0"/>
                <w:i w:val="0"/>
                <w:color w:val="6B6D70"/>
                <w:sz w:val="16"/>
              </w:rPr>
              <w:t xml:space="preserve">Birmingham</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Buyer, then Senior Buyer</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11"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Hollins &amp; Marr Group plc</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Bought packaging and logistics services for three manufacturing sites</w:t>
            </w:r>
          </w:p>
        </w:tc>
      </w:tr>
    </w:tbl>
    <w:p>
      <w:pPr>
        <w:keepNext/>
        <w:spacing w:before="120" w:after="160"/>
      </w:pPr>
      <w:r>
        <w:rPr>
          <w:rFonts w:ascii="Cambria" w:hAnsi="Cambria" w:eastAsia="Cambria" w:cs="Cambria"/>
          <w:b w:val="0"/>
          <w:i w:val="0"/>
          <w:color w:val="2E3338"/>
          <w:sz w:val="28"/>
        </w:rPr>
        <w:t>Education</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71"/>
        <w:gridCol w:w="7767"/>
      </w:tblGrid>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2012</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0"/>
              </w:rPr>
              <w:t xml:space="preserve">MSc Supply Chain Management</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12" name="Timeline dot 902"/>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FFFFFF"/>
                          </a:solidFill>
                          <a:ln w="19050">
                            <a:solidFill>
                              <a:srgbClr val="5F6B77"/>
                            </a:solidFill>
                          </a:ln>
                        </wps:spPr>
                        <wps:bodyPr rot="0" vert="horz" wrap="square" lIns="0" tIns="0" rIns="0" bIns="0" anchor="ctr">
                          <a:noAutofit/>
                        </wps:bodyPr>
                      </wps:wsp>
                    </a:graphicData>
                  </a:graphic>
                </wp:anchor>
              </w:drawing>
            </w:r>
          </w:p>
          <w:p>
            <w:pPr>
              <w:spacing w:before="0" w:after="0"/>
            </w:pPr>
            <w:r>
              <w:rPr>
                <w:rFonts w:ascii="Cambria" w:hAnsi="Cambria" w:eastAsia="Cambria" w:cs="Cambria"/>
                <w:b w:val="0"/>
                <w:i/>
                <w:color w:val="1F2226"/>
                <w:sz w:val="19"/>
              </w:rPr>
              <w:t xml:space="preserve">Cranfield University</w:t>
            </w:r>
          </w:p>
        </w:tc>
      </w:tr>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2006</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0"/>
              </w:rPr>
              <w:t xml:space="preserve">BSc Chemistry</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13" name="Timeline dot 902"/>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FFFFFF"/>
                          </a:solidFill>
                          <a:ln w="19050">
                            <a:solidFill>
                              <a:srgbClr val="5F6B77"/>
                            </a:solidFill>
                          </a:ln>
                        </wps:spPr>
                        <wps:bodyPr rot="0" vert="horz" wrap="square" lIns="0" tIns="0" rIns="0" bIns="0" anchor="ctr">
                          <a:noAutofit/>
                        </wps:bodyPr>
                      </wps:wsp>
                    </a:graphicData>
                  </a:graphic>
                </wp:anchor>
              </w:drawing>
            </w:r>
          </w:p>
          <w:p>
            <w:pPr>
              <w:spacing w:before="0" w:after="0"/>
            </w:pPr>
            <w:r>
              <w:rPr>
                <w:rFonts w:ascii="Cambria" w:hAnsi="Cambria" w:eastAsia="Cambria" w:cs="Cambria"/>
                <w:b w:val="0"/>
                <w:i/>
                <w:color w:val="1F2226"/>
                <w:sz w:val="19"/>
              </w:rPr>
              <w:t xml:space="preserve">University of Birmingham</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5143"/>
        <w:gridCol w:w="454"/>
        <w:gridCol w:w="4041"/>
      </w:tblGrid>
      <w:tr>
        <w:trPr>
          <w:cantSplit/>
        </w:trPr>
        <w:tc>
          <w:tcPr>
            <w:tcW w:type="dxa" w:w="5143"/>
            <w:vAlign w:val="top"/>
            <w:tcBorders>
              <w:top w:val="single" w:sz="6" w:space="0" w:color="5F6B77"/>
            </w:tcBorders>
            <w:tcMar>
              <w:top w:w="140" w:type="dxa"/>
              <w:left w:w="0" w:type="dxa"/>
              <w:bottom w:w="0" w:type="dxa"/>
              <w:right w:w="0" w:type="dxa"/>
            </w:tcMar>
          </w:tcPr>
          <w:p>
            <w:pPr>
              <w:keepNext/>
              <w:spacing w:before="0" w:after="60"/>
            </w:pPr>
            <w:r>
              <w:rPr>
                <w:rFonts w:ascii="Calibri" w:hAnsi="Calibri" w:eastAsia="Calibri" w:cs="Calibri"/>
                <w:b/>
                <w:i w:val="0"/>
                <w:caps/>
                <w:color w:val="5F6B77"/>
                <w:sz w:val="15"/>
                <w:spacing w:val="30"/>
              </w:rPr>
              <w:t>Skills</w:t>
            </w:r>
          </w:p>
          <w:p>
            <w:pPr>
              <w:spacing w:before="0" w:after="0"/>
            </w:pPr>
            <w:r>
              <w:rPr>
                <w:rFonts w:ascii="Calibri" w:hAnsi="Calibri" w:eastAsia="Calibri" w:cs="Calibri"/>
                <w:b w:val="0"/>
                <w:i w:val="0"/>
                <w:sz w:val="19"/>
              </w:rPr>
              <w:t xml:space="preserve">Category management  ·  Supplier risk  ·  Contract negotiation  ·  Source-to-pay  ·  GMP supply  ·  Team leadership  ·  Savings delivery  ·  Stakeholder management</w:t>
            </w:r>
          </w:p>
          <w:p>
            <w:pPr>
              <w:spacing w:before="0" w:after="0" w:line="2" w:lineRule="exact"/>
            </w:pPr>
            <w:r>
              <w:rPr>
                <w:rFonts w:ascii="Calibri" w:hAnsi="Calibri" w:eastAsia="Calibri" w:cs="Calibri"/>
                <w:b w:val="0"/>
                <w:i w:val="0"/>
                <w:sz w:val="2"/>
              </w:rPr>
            </w:r>
          </w:p>
        </w:tc>
        <w:tc>
          <w:tcPr>
            <w:tcW w:type="dxa" w:w="454"/>
          </w:tcPr>
          <w:p/>
        </w:tc>
        <w:tc>
          <w:tcPr>
            <w:tcW w:type="dxa" w:w="4041"/>
            <w:vAlign w:val="top"/>
            <w:tcBorders>
              <w:top w:val="single" w:sz="6" w:space="0" w:color="5F6B77"/>
            </w:tcBorders>
            <w:tcMar>
              <w:top w:w="140" w:type="dxa"/>
              <w:left w:w="0" w:type="dxa"/>
              <w:bottom w:w="0" w:type="dxa"/>
              <w:right w:w="0" w:type="dxa"/>
            </w:tcMar>
          </w:tcPr>
          <w:p>
            <w:pPr>
              <w:spacing w:line="20" w:lineRule="exact"/>
            </w:pPr>
            <w:r>
              <w:rPr>
                <w:rFonts w:ascii="Calibri" w:hAnsi="Calibri" w:eastAsia="Calibri" w:cs="Calibri"/>
                <w:b w:val="0"/>
                <w:i w:val="0"/>
                <w:sz w:val="2"/>
              </w:rPr>
            </w:r>
          </w:p>
          <w:p>
            <w:pPr>
              <w:keepNext/>
              <w:spacing w:before="0" w:after="60"/>
            </w:pPr>
            <w:r>
              <w:rPr>
                <w:rFonts w:ascii="Calibri" w:hAnsi="Calibri" w:eastAsia="Calibri" w:cs="Calibri"/>
                <w:b/>
                <w:i w:val="0"/>
                <w:caps/>
                <w:color w:val="5F6B77"/>
                <w:sz w:val="15"/>
                <w:spacing w:val="30"/>
              </w:rPr>
              <w:t>Certifications</w:t>
            </w:r>
          </w:p>
          <w:p>
            <w:pPr>
              <w:spacing w:before="0" w:after="20"/>
            </w:pPr>
            <w:r>
              <w:rPr>
                <w:rFonts w:ascii="Calibri" w:hAnsi="Calibri" w:eastAsia="Calibri" w:cs="Calibri"/>
                <w:b w:val="0"/>
                <w:i w:val="0"/>
                <w:sz w:val="19"/>
              </w:rPr>
              <w:t xml:space="preserve">FCIPS, Chartered Institute of Procurement &amp; Supply (2019)</w:t>
            </w:r>
          </w:p>
          <w:p>
            <w:pPr>
              <w:spacing w:before="0" w:after="20"/>
            </w:pPr>
            <w:r>
              <w:rPr>
                <w:rFonts w:ascii="Calibri" w:hAnsi="Calibri" w:eastAsia="Calibri" w:cs="Calibri"/>
                <w:b w:val="0"/>
                <w:i w:val="0"/>
                <w:sz w:val="19"/>
              </w:rPr>
              <w:t xml:space="preserve">Lean Six Sigma Green Belt (2015)</w:t>
            </w:r>
          </w:p>
          <w:p>
            <w:pPr>
              <w:spacing w:before="0" w:after="0" w:line="120" w:lineRule="exact"/>
            </w:pPr>
            <w:r>
              <w:rPr>
                <w:rFonts w:ascii="Calibri" w:hAnsi="Calibri" w:eastAsia="Calibri" w:cs="Calibri"/>
                <w:b w:val="0"/>
                <w:i w:val="0"/>
                <w:sz w:val="2"/>
              </w:rPr>
            </w:r>
          </w:p>
          <w:p>
            <w:pPr>
              <w:keepNext/>
              <w:spacing w:before="0" w:after="60"/>
            </w:pPr>
            <w:r>
              <w:rPr>
                <w:rFonts w:ascii="Calibri" w:hAnsi="Calibri" w:eastAsia="Calibri" w:cs="Calibri"/>
                <w:b/>
                <w:i w:val="0"/>
                <w:caps/>
                <w:color w:val="5F6B77"/>
                <w:sz w:val="15"/>
                <w:spacing w:val="30"/>
              </w:rPr>
              <w:t>Languages</w:t>
            </w:r>
          </w:p>
          <w:p>
            <w:pPr>
              <w:spacing w:before="0" w:after="20"/>
            </w:pPr>
            <w:r>
              <w:rPr>
                <w:rFonts w:ascii="Calibri" w:hAnsi="Calibri" w:eastAsia="Calibri" w:cs="Calibri"/>
                <w:b w:val="0"/>
                <w:i w:val="0"/>
                <w:sz w:val="19"/>
              </w:rPr>
              <w:t xml:space="preserve">English (fluent)</w:t>
            </w:r>
          </w:p>
          <w:p>
            <w:pPr>
              <w:spacing w:before="0" w:after="20"/>
            </w:pPr>
            <w:r>
              <w:rPr>
                <w:rFonts w:ascii="Calibri" w:hAnsi="Calibri" w:eastAsia="Calibri" w:cs="Calibri"/>
                <w:b w:val="0"/>
                <w:i w:val="0"/>
                <w:sz w:val="19"/>
              </w:rPr>
              <w:t xml:space="preserve">Arabic (native)</w:t>
            </w:r>
          </w:p>
          <w:p>
            <w:pPr>
              <w:spacing w:before="0" w:after="20"/>
            </w:pPr>
            <w:r>
              <w:rPr>
                <w:rFonts w:ascii="Calibri" w:hAnsi="Calibri" w:eastAsia="Calibri" w:cs="Calibri"/>
                <w:b w:val="0"/>
                <w:i w:val="0"/>
                <w:sz w:val="19"/>
              </w:rPr>
              <w:t xml:space="preserve">French (working)</w:t>
            </w:r>
          </w:p>
          <w:p>
            <w:pPr>
              <w:spacing w:before="0" w:after="0" w:line="120" w:lineRule="exact"/>
            </w:pPr>
            <w:r>
              <w:rPr>
                <w:rFonts w:ascii="Calibri" w:hAnsi="Calibri" w:eastAsia="Calibri" w:cs="Calibri"/>
                <w:b w:val="0"/>
                <w:i w:val="0"/>
                <w:sz w:val="2"/>
              </w:rPr>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80" w:after="40"/>
      </w:pPr>
      <w:r>
        <w:rPr>
          <w:rFonts w:ascii="Cambria" w:hAnsi="Cambria" w:eastAsia="Cambria" w:cs="Cambria"/>
          <w:b w:val="0"/>
          <w:i w:val="0"/>
          <w:color w:val="2E3338"/>
          <w:sz w:val="54"/>
        </w:rPr>
        <w:t xml:space="preserve">Luke Pemberton</w:t>
      </w:r>
    </w:p>
    <w:p>
      <w:pPr>
        <w:spacing w:before="0" w:after="20"/>
      </w:pPr>
      <w:r>
        <w:rPr>
          <w:rFonts w:ascii="Cambria" w:hAnsi="Cambria" w:eastAsia="Cambria" w:cs="Cambria"/>
          <w:b w:val="0"/>
          <w:i/>
          <w:color w:val="5F6B77"/>
          <w:sz w:val="24"/>
        </w:rPr>
        <w:t xml:space="preserve">Assistant Accountant</w:t>
      </w:r>
    </w:p>
    <w:p>
      <w:pPr>
        <w:spacing w:before="0" w:after="0"/>
      </w:pPr>
      <w:r>
        <w:rPr>
          <w:rFonts w:ascii="Calibri" w:hAnsi="Calibri" w:eastAsia="Calibri" w:cs="Calibri"/>
          <w:b w:val="0"/>
          <w:i w:val="0"/>
          <w:color w:val="6B6D70"/>
          <w:sz w:val="18"/>
        </w:rPr>
        <w:t xml:space="preserve">Norwich</w:t>
      </w:r>
    </w:p>
    <w:p>
      <w:pPr>
        <w:spacing w:before="240" w:after="80"/>
        <w:pBdr>
          <w:top w:val="single" w:sz="6" w:space="8" w:color="5F6B77"/>
          <w:bottom w:val="single" w:sz="6" w:space="8" w:color="5F6B77"/>
        </w:pBdr>
      </w:pPr>
      <w:r>
        <w:rPr>
          <w:rFonts w:ascii="Calibri" w:hAnsi="Calibri" w:eastAsia="Calibri" w:cs="Calibri"/>
          <w:b w:val="0"/>
          <w:i w:val="0"/>
          <w:color w:val="1F2226"/>
          <w:sz w:val="21"/>
        </w:rPr>
        <w:t xml:space="preserve">Luke is an assistant accountant studying for the ACCA, with three years in practice and industry.</w:t>
      </w:r>
    </w:p>
    <w:p>
      <w:pPr>
        <w:keepNext/>
        <w:spacing w:before="280" w:after="160"/>
      </w:pPr>
      <w:r>
        <w:rPr>
          <w:rFonts w:ascii="Cambria" w:hAnsi="Cambria" w:eastAsia="Cambria" w:cs="Cambria"/>
          <w:b w:val="0"/>
          <w:i w:val="0"/>
          <w:color w:val="2E3338"/>
          <w:sz w:val="28"/>
        </w:rPr>
        <w:t>Career timeline</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71"/>
        <w:gridCol w:w="7767"/>
      </w:tblGrid>
      <w:tr>
        <w:trPr>
          <w:cantSplit/>
        </w:trPr>
        <w:tc>
          <w:tcPr>
            <w:tcW w:type="dxa" w:w="1871"/>
            <w:vAlign w:val="top"/>
            <w:tcMar>
              <w:top w:w="20" w:type="dxa"/>
              <w:left w:w="0" w:type="dxa"/>
              <w:bottom w:w="200" w:type="dxa"/>
              <w:right w:w="260" w:type="dxa"/>
            </w:tcMar>
          </w:tcPr>
          <w:p>
            <w:pPr>
              <w:spacing w:before="0" w:after="0"/>
              <w:jc w:val="right"/>
            </w:pPr>
            <w:r>
              <w:rPr>
                <w:rFonts w:ascii="Calibri" w:hAnsi="Calibri" w:eastAsia="Calibri" w:cs="Calibri"/>
                <w:b/>
                <w:i w:val="0"/>
                <w:color w:val="5F6B77"/>
                <w:sz w:val="18"/>
              </w:rPr>
              <w:t xml:space="preserve">2023 – Present</w:t>
            </w:r>
          </w:p>
          <w:p>
            <w:pPr>
              <w:spacing w:before="0" w:after="0"/>
              <w:jc w:val="right"/>
            </w:pPr>
            <w:r>
              <w:rPr>
                <w:rFonts w:ascii="Calibri" w:hAnsi="Calibri" w:eastAsia="Calibri" w:cs="Calibri"/>
                <w:b w:val="0"/>
                <w:i w:val="0"/>
                <w:color w:val="6B6D70"/>
                <w:sz w:val="16"/>
              </w:rPr>
              <w:t xml:space="preserve">Norwich</w:t>
            </w:r>
          </w:p>
        </w:tc>
        <w:tc>
          <w:tcPr>
            <w:tcW w:type="dxa" w:w="7767"/>
            <w:vAlign w:val="top"/>
            <w:tcMar>
              <w:top w:w="20" w:type="dxa"/>
              <w:left w:w="360" w:type="dxa"/>
              <w:bottom w:w="200" w:type="dxa"/>
              <w:right w:w="0" w:type="dxa"/>
            </w:tcMar>
            <w:tcBorders>
              <w:left w:val="single" w:sz="12" w:space="0" w:color="A7AEB4"/>
            </w:tcBorders>
          </w:tcPr>
          <w:p>
            <w:pPr>
              <w:keepNext/>
              <w:spacing w:before="0" w:after="0"/>
            </w:pPr>
            <w:r>
              <w:rPr>
                <w:rFonts w:ascii="Calibri" w:hAnsi="Calibri" w:eastAsia="Calibri" w:cs="Calibri"/>
                <w:b/>
                <w:i w:val="0"/>
                <w:color w:val="2E3338"/>
                <w:sz w:val="21"/>
              </w:rPr>
              <w:t xml:space="preserve">Assistant Accountant</w:t>
            </w:r>
            <w:r>
              <w:drawing>
                <wp:anchor distT="0" distB="0" distL="0" distR="0" simplePos="0" relativeHeight="251662336" behindDoc="0" locked="0" layoutInCell="1" allowOverlap="1">
                  <wp:simplePos x="0" y="0"/>
                  <wp:positionH relativeFrom="column">
                    <wp:posOffset>-298123</wp:posOffset>
                  </wp:positionH>
                  <wp:positionV relativeFrom="paragraph">
                    <wp:posOffset>25200</wp:posOffset>
                  </wp:positionV>
                  <wp:extent cx="129600" cy="129600"/>
                  <wp:effectExtent l="0" t="0" r="0" b="0"/>
                  <wp:wrapNone/>
                  <wp:docPr id="1014" name="Timeline dot 901"/>
                  <wp:cNvGraphicFramePr/>
                  <a:graphic xmlns:a="http://schemas.openxmlformats.org/drawingml/2006/main">
                    <a:graphicData uri="http://schemas.microsoft.com/office/word/2010/wordprocessingShape">
                      <wps:wsp>
                        <wps:cNvSpPr/>
                        <wps:spPr>
                          <a:xfrm>
                            <a:off x="0" y="0"/>
                            <a:ext cx="129600" cy="129600"/>
                          </a:xfrm>
                          <a:prstGeom prst="ellipse">
                            <a:avLst/>
                          </a:prstGeom>
                          <a:solidFill>
                            <a:srgbClr val="5F6B77"/>
                          </a:solidFill>
                          <a:ln w="25400">
                            <a:solidFill>
                              <a:srgbClr val="FFFFFF"/>
                            </a:solidFill>
                          </a:ln>
                        </wps:spPr>
                        <wps:bodyPr rot="0" vert="horz" wrap="square" lIns="0" tIns="0" rIns="0" bIns="0" anchor="ctr">
                          <a:noAutofit/>
                        </wps:bodyPr>
                      </wps:wsp>
                    </a:graphicData>
                  </a:graphic>
                </wp:anchor>
              </w:drawing>
            </w:r>
          </w:p>
          <w:p>
            <w:pPr>
              <w:keepNext/>
              <w:spacing w:before="0" w:after="40"/>
            </w:pPr>
            <w:r>
              <w:rPr>
                <w:rFonts w:ascii="Cambria" w:hAnsi="Cambria" w:eastAsia="Cambria" w:cs="Cambria"/>
                <w:b w:val="0"/>
                <w:i/>
                <w:color w:val="1F2226"/>
                <w:sz w:val="20"/>
              </w:rPr>
              <w:t xml:space="preserve">Wensum Farm Supplies</w:t>
            </w:r>
          </w:p>
          <w:p>
            <w:pPr>
              <w:tabs>
                <w:tab w:pos="181" w:val="left"/>
              </w:tabs>
              <w:spacing w:before="30" w:after="0"/>
              <w:ind w:left="181" w:hanging="181"/>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Prepares the monthly management accounts and VAT returns</w:t>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5143"/>
        <w:gridCol w:w="454"/>
        <w:gridCol w:w="4041"/>
      </w:tblGrid>
      <w:tr>
        <w:trPr>
          <w:cantSplit/>
        </w:trPr>
        <w:tc>
          <w:tcPr>
            <w:tcW w:type="dxa" w:w="5143"/>
            <w:vAlign w:val="top"/>
            <w:tcBorders>
              <w:top w:val="single" w:sz="6" w:space="0" w:color="5F6B77"/>
            </w:tcBorders>
            <w:tcMar>
              <w:top w:w="140" w:type="dxa"/>
              <w:left w:w="0" w:type="dxa"/>
              <w:bottom w:w="0" w:type="dxa"/>
              <w:right w:w="0" w:type="dxa"/>
            </w:tcMar>
          </w:tcPr>
          <w:p>
            <w:pPr>
              <w:keepNext/>
              <w:spacing w:before="0" w:after="60"/>
            </w:pPr>
            <w:r>
              <w:rPr>
                <w:rFonts w:ascii="Calibri" w:hAnsi="Calibri" w:eastAsia="Calibri" w:cs="Calibri"/>
                <w:b/>
                <w:i w:val="0"/>
                <w:caps/>
                <w:color w:val="5F6B77"/>
                <w:sz w:val="15"/>
                <w:spacing w:val="30"/>
              </w:rPr>
              <w:t>Skills</w:t>
            </w:r>
          </w:p>
          <w:p>
            <w:pPr>
              <w:spacing w:before="0" w:after="0"/>
            </w:pPr>
            <w:r>
              <w:rPr>
                <w:rFonts w:ascii="Calibri" w:hAnsi="Calibri" w:eastAsia="Calibri" w:cs="Calibri"/>
                <w:b w:val="0"/>
                <w:i w:val="0"/>
                <w:sz w:val="19"/>
              </w:rPr>
              <w:t xml:space="preserve">Management accounts  ·  Xero  ·  Sage 50</w:t>
            </w:r>
          </w:p>
          <w:p>
            <w:pPr>
              <w:spacing w:before="0" w:after="0" w:line="2" w:lineRule="exact"/>
            </w:pPr>
            <w:r>
              <w:rPr>
                <w:rFonts w:ascii="Calibri" w:hAnsi="Calibri" w:eastAsia="Calibri" w:cs="Calibri"/>
                <w:b w:val="0"/>
                <w:i w:val="0"/>
                <w:sz w:val="2"/>
              </w:rPr>
            </w:r>
          </w:p>
        </w:tc>
        <w:tc>
          <w:tcPr>
            <w:tcW w:type="dxa" w:w="454"/>
          </w:tcPr>
          <w:p/>
        </w:tc>
        <w:tc>
          <w:tcPr>
            <w:tcW w:type="dxa" w:w="4041"/>
            <w:vAlign w:val="top"/>
            <w:tcBorders>
              <w:top w:val="single" w:sz="6" w:space="0" w:color="5F6B77"/>
            </w:tcBorders>
            <w:tcMar>
              <w:top w:w="140" w:type="dxa"/>
              <w:left w:w="0" w:type="dxa"/>
              <w:bottom w:w="0" w:type="dxa"/>
              <w:right w:w="0" w:type="dxa"/>
            </w:tcMar>
          </w:tcPr>
          <w:p>
            <w:pPr>
              <w:spacing w:line="20" w:lineRule="exact"/>
            </w:pPr>
            <w:r>
              <w:rPr>
                <w:rFonts w:ascii="Calibri" w:hAnsi="Calibri" w:eastAsia="Calibri" w:cs="Calibri"/>
                <w:b w:val="0"/>
                <w:i w:val="0"/>
                <w:sz w:val="2"/>
              </w:rPr>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07" w:right="1134" w:bottom="794" w:left="1134"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Bdr>
        <w:top w:val="single" w:sz="6" w:space="6" w:color="DFE0E1"/>
      </w:pBdr>
    </w:pPr>
    <w: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Curriculum vitae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Timeline CV</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