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40" w:after="40"/>
      </w:pPr>
      <w:r>
        <w:rPr>
          <w:rFonts w:ascii="Cambria" w:hAnsi="Cambria" w:eastAsia="Cambria" w:cs="Cambria"/>
          <w:b w:val="0"/>
          <w:i w:val="0"/>
          <w:color w:val="2E3338"/>
          <w:sz w:val="55"/>
        </w:rPr>
        <w:t xml:space="preserve">Rajiv Mehta</w:t>
      </w:r>
    </w:p>
    <w:p>
      <w:pPr>
        <w:spacing w:before="0" w:after="20"/>
      </w:pPr>
      <w:r>
        <w:rPr>
          <w:rFonts w:ascii="Cambria" w:hAnsi="Cambria" w:eastAsia="Cambria" w:cs="Cambria"/>
          <w:b w:val="0"/>
          <w:i/>
          <w:color w:val="1F2226"/>
          <w:sz w:val="24"/>
        </w:rPr>
        <w:t xml:space="preserve">Chief Financial Officer · Listed industrials and infrastructure services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London</w:t>
      </w:r>
    </w:p>
    <w:p>
      <w:pPr>
        <w:spacing w:before="200" w:after="0" w:line="40" w:lineRule="exact"/>
        <w:pBdr>
          <w:top w:val="single" w:sz="18" w:space="1" w:color="2E3338"/>
        </w:pBdr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 w:line="40" w:lineRule="exact"/>
        <w:pBdr>
          <w:top w:val="single" w:sz="4" w:space="1" w:color="5F6B77"/>
        </w:pBdr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20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Executive summary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 w:val="0"/>
          <w:sz w:val="21"/>
        </w:rPr>
        <w:t xml:space="preserve">Rajiv is a chief financial officer with twenty-four years in finance, eight of them as a plc board director. He has led finance through a main-market listing, a £1.1bn acquisition and a balance sheet restructuring, and is known by investors and lenders for clear guidance and delivering it. He chairs the audit committee of a FTSE 250 company.</w:t>
      </w:r>
    </w:p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Key achievements</w:t>
      </w:r>
    </w:p>
    <w:tbl>
      <w:tblPr>
        <w:tblLook w:firstColumn="1" w:firstRow="1" w:lastColumn="0" w:lastRow="0" w:noHBand="0" w:noVBand="1" w:val="04A0"/>
        <w:tblW w:w="9638" w:type="dxa"/>
        <w:jc w:val="left"/>
        <w:tblInd w:w="2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F2F3F3"/>
            <w:vAlign w:val="top"/>
            <w:tcMar>
              <w:top w:w="90" w:type="dxa"/>
              <w:left w:w="200" w:type="dxa"/>
              <w:bottom w:w="90" w:type="dxa"/>
              <w:right w:w="12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Led the 2021 main-market listing of Fenmore Infrastructure, raising £420m</w:t>
            </w:r>
          </w:p>
        </w:tc>
        <w:tc>
          <w:tcPr>
            <w:tcW w:type="dxa" w:w="4819"/>
            <w:shd w:val="clear" w:color="auto" w:fill="F2F3F3"/>
            <w:vAlign w:val="top"/>
            <w:tcMar>
              <w:top w:w="90" w:type="dxa"/>
              <w:left w:w="120" w:type="dxa"/>
              <w:bottom w:w="90" w:type="dxa"/>
              <w:right w:w="20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Completed the £1.1bn acquisition of Ravelstone Services, accretive in year one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shd w:val="clear" w:color="auto" w:fill="F2F3F3"/>
            <w:vAlign w:val="top"/>
            <w:tcMar>
              <w:top w:w="90" w:type="dxa"/>
              <w:left w:w="200" w:type="dxa"/>
              <w:bottom w:w="90" w:type="dxa"/>
              <w:right w:w="12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Refinanced £900m of debt and extended maturities to 2031</w:t>
            </w:r>
          </w:p>
        </w:tc>
        <w:tc>
          <w:tcPr>
            <w:tcW w:type="dxa" w:w="4819"/>
            <w:shd w:val="clear" w:color="auto" w:fill="F2F3F3"/>
            <w:vAlign w:val="top"/>
            <w:tcMar>
              <w:top w:w="90" w:type="dxa"/>
              <w:left w:w="120" w:type="dxa"/>
              <w:bottom w:w="90" w:type="dxa"/>
              <w:right w:w="20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Delivered £65m of annual cost savings through a shared service centre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shd w:val="clear" w:color="auto" w:fill="F2F3F3"/>
            <w:vAlign w:val="top"/>
            <w:tcMar>
              <w:top w:w="90" w:type="dxa"/>
              <w:left w:w="200" w:type="dxa"/>
              <w:bottom w:w="90" w:type="dxa"/>
              <w:right w:w="12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Raised free cash conversion from 61% to 92% over four years</w:t>
            </w:r>
          </w:p>
        </w:tc>
        <w:tc>
          <w:tcPr>
            <w:tcW w:type="dxa" w:w="4819"/>
            <w:shd w:val="clear" w:color="auto" w:fill="F2F3F3"/>
            <w:vAlign w:val="top"/>
            <w:tcMar>
              <w:top w:w="90" w:type="dxa"/>
              <w:left w:w="120" w:type="dxa"/>
              <w:bottom w:w="90" w:type="dxa"/>
              <w:right w:w="20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Built a finance team rated top quartile in the group's engagement survey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</w:tbl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Career history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Chief Financial Officer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2019 – Present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Fenmore Infrastructure plc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London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Reports to the CEO · Board member · Revenue £2.4bn · 14,000 people · Finance, IT, procurement and investor relations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sz w:val="19"/>
        </w:rPr>
        <w:t xml:space="preserve">Joined pre-IPO to take the business to the main market and lead its next stage of growth.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Took the company through its 2021 listing and into the FTSE 250 within two years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Led the acquisition and integration of Ravelstone Services, adding £600m of revenue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Set up a group shared service centre in Leeds, saving £65m a year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Group Finance Director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2014 – 2019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Ashcombe &amp; Pryor Group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Birmingham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Reports to the CEO · Revenue £1.3bn · Finance team of 220 across nine countries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sz w:val="19"/>
        </w:rPr>
        <w:t xml:space="preserve">Private equity-backed engineering services group, through a restructuring and a successful exit.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Led the balance sheet restructuring that reduced leverage from 5.8 to 2.9 times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Prepared the group for its 2018 sale to a strategic buyer at 12 times EBITDA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Divisional Finance Director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2009 – 2014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Hollins &amp; Marr Group plc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London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Revenue £600m · Two businesses in the UK and Germany</w:t>
      </w:r>
    </w:p>
    <w:p>
      <w:pPr>
        <w:keepNext/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Partnered the divisional CEO on a turnaround that took margin from 4% to 9%</w:t>
      </w:r>
    </w:p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Board and non-executive roles</w:t>
      </w:r>
    </w:p>
    <w:tbl>
      <w:tblPr>
        <w:tblLook w:firstColumn="1" w:firstRow="1" w:lastColumn="0" w:lastRow="0" w:noHBand="0" w:noVBand="1" w:val="04A0"/>
        <w:tblW w:w="963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521"/>
        <w:gridCol w:w="4303"/>
        <w:gridCol w:w="1814"/>
      </w:tblGrid>
      <w:tr>
        <w:trPr>
          <w:tblHeader/>
          <w:cantSplit/>
        </w:trPr>
        <w:tc>
          <w:tcPr>
            <w:tcW w:type="dxa" w:w="3521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Role</w:t>
            </w:r>
          </w:p>
        </w:tc>
        <w:tc>
          <w:tcPr>
            <w:tcW w:type="dxa" w:w="4303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Organisation</w:t>
            </w:r>
          </w:p>
        </w:tc>
        <w:tc>
          <w:tcPr>
            <w:tcW w:type="dxa" w:w="1814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Dates</w:t>
            </w:r>
          </w:p>
        </w:tc>
      </w:tr>
      <w:tr>
        <w:trPr>
          <w:cantSplit/>
        </w:trPr>
        <w:tc>
          <w:tcPr>
            <w:tcW w:type="dxa" w:w="3521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Non-executive Director and Chair of Audit Committee</w:t>
            </w:r>
          </w:p>
        </w:tc>
        <w:tc>
          <w:tcPr>
            <w:tcW w:type="dxa" w:w="4303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Calder &amp; Finch Group plc (FTSE 250)</w:t>
            </w:r>
          </w:p>
        </w:tc>
        <w:tc>
          <w:tcPr>
            <w:tcW w:type="dxa" w:w="181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2022 – Present</w:t>
            </w:r>
          </w:p>
        </w:tc>
      </w:tr>
      <w:tr>
        <w:trPr>
          <w:cantSplit/>
        </w:trPr>
        <w:tc>
          <w:tcPr>
            <w:tcW w:type="dxa" w:w="3521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Trustee and Treasurer</w:t>
            </w:r>
          </w:p>
        </w:tc>
        <w:tc>
          <w:tcPr>
            <w:tcW w:type="dxa" w:w="4303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The Brightway Education Trust</w:t>
            </w:r>
          </w:p>
        </w:tc>
        <w:tc>
          <w:tcPr>
            <w:tcW w:type="dxa" w:w="181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2018 – Present</w:t>
            </w:r>
          </w:p>
        </w:tc>
      </w:tr>
    </w:tbl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Education and affiliations</w:t>
      </w:r>
    </w:p>
    <w:tbl>
      <w:tblPr>
        <w:tblLook w:firstColumn="1" w:firstRow="1" w:lastColumn="0" w:lastRow="0" w:noHBand="0" w:noVBand="1" w:val="04A0"/>
        <w:tblW w:w="963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762"/>
        <w:gridCol w:w="340"/>
        <w:gridCol w:w="3046"/>
        <w:gridCol w:w="340"/>
        <w:gridCol w:w="2150"/>
      </w:tblGrid>
      <w:tr>
        <w:trPr>
          <w:cantSplit/>
        </w:trPr>
        <w:tc>
          <w:tcPr>
            <w:tcW w:type="dxa" w:w="3762"/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Education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sz w:val="19"/>
              </w:rPr>
              <w:t xml:space="preserve">MA Economics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University of Cambridge, 1999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sz w:val="19"/>
              </w:rPr>
              <w:t xml:space="preserve">Advanced Management Program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Harvard Business School, 2017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3046"/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Memberships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FCA, ICAEW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Member, Association of Corporate Treasurers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2150"/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Languages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English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Hindi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Gujarati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40" w:after="40"/>
      </w:pPr>
      <w:r>
        <w:rPr>
          <w:rFonts w:ascii="Cambria" w:hAnsi="Cambria" w:eastAsia="Cambria" w:cs="Cambria"/>
          <w:b w:val="0"/>
          <w:i w:val="0"/>
          <w:color w:val="2E3338"/>
          <w:sz w:val="55"/>
        </w:rPr>
        <w:t xml:space="preserve">Margaret Delaney</w:t>
      </w:r>
    </w:p>
    <w:p>
      <w:pPr>
        <w:spacing w:before="0" w:after="20"/>
      </w:pPr>
      <w:r>
        <w:rPr>
          <w:rFonts w:ascii="Cambria" w:hAnsi="Cambria" w:eastAsia="Cambria" w:cs="Cambria"/>
          <w:b w:val="0"/>
          <w:i/>
          <w:color w:val="1F2226"/>
          <w:sz w:val="24"/>
        </w:rPr>
        <w:t xml:space="preserve">Chief Executive Officer · Healthcare services and outsourcing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Manchester</w:t>
      </w:r>
    </w:p>
    <w:p>
      <w:pPr>
        <w:spacing w:before="200" w:after="0" w:line="40" w:lineRule="exact"/>
        <w:pBdr>
          <w:top w:val="single" w:sz="18" w:space="1" w:color="2E3338"/>
        </w:pBdr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 w:line="40" w:lineRule="exact"/>
        <w:pBdr>
          <w:top w:val="single" w:sz="4" w:space="1" w:color="5F6B77"/>
        </w:pBdr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20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Executive summary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 w:val="0"/>
          <w:sz w:val="21"/>
        </w:rPr>
        <w:t xml:space="preserve">Margaret has led healthcare and support services businesses for twenty years, the last nine as CEO of two private equity-backed groups. She has grown revenue through contract wins and acquisitions, turned around underperforming divisions and led both businesses to successful exits. She is a non-executive director of an NHS foundation trust and a listed care provider.</w:t>
      </w:r>
    </w:p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Key achievements</w:t>
      </w:r>
    </w:p>
    <w:tbl>
      <w:tblPr>
        <w:tblLook w:firstColumn="1" w:firstRow="1" w:lastColumn="0" w:lastRow="0" w:noHBand="0" w:noVBand="1" w:val="04A0"/>
        <w:tblW w:w="9638" w:type="dxa"/>
        <w:jc w:val="left"/>
        <w:tblInd w:w="2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F2F3F3"/>
            <w:vAlign w:val="top"/>
            <w:tcMar>
              <w:top w:w="90" w:type="dxa"/>
              <w:left w:w="200" w:type="dxa"/>
              <w:bottom w:w="90" w:type="dxa"/>
              <w:right w:w="12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Grew Penrose Health Services from £280m to £710m revenue in six years</w:t>
            </w:r>
          </w:p>
        </w:tc>
        <w:tc>
          <w:tcPr>
            <w:tcW w:type="dxa" w:w="4819"/>
            <w:shd w:val="clear" w:color="auto" w:fill="F2F3F3"/>
            <w:vAlign w:val="top"/>
            <w:tcMar>
              <w:top w:w="90" w:type="dxa"/>
              <w:left w:w="120" w:type="dxa"/>
              <w:bottom w:w="90" w:type="dxa"/>
              <w:right w:w="20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Led two private equity exits returning more than three times invested capital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shd w:val="clear" w:color="auto" w:fill="F2F3F3"/>
            <w:vAlign w:val="top"/>
            <w:tcMar>
              <w:top w:w="90" w:type="dxa"/>
              <w:left w:w="200" w:type="dxa"/>
              <w:bottom w:w="90" w:type="dxa"/>
              <w:right w:w="12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Completed and integrated eleven acquisitions across the UK and Ireland</w:t>
            </w:r>
          </w:p>
        </w:tc>
        <w:tc>
          <w:tcPr>
            <w:tcW w:type="dxa" w:w="4819"/>
            <w:shd w:val="clear" w:color="auto" w:fill="F2F3F3"/>
            <w:vAlign w:val="top"/>
            <w:tcMar>
              <w:top w:w="90" w:type="dxa"/>
              <w:left w:w="120" w:type="dxa"/>
              <w:bottom w:w="90" w:type="dxa"/>
              <w:right w:w="20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Turned around the community care division from a £9m loss to £14m profit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shd w:val="clear" w:color="auto" w:fill="F2F3F3"/>
            <w:vAlign w:val="top"/>
            <w:tcMar>
              <w:top w:w="90" w:type="dxa"/>
              <w:left w:w="200" w:type="dxa"/>
              <w:bottom w:w="90" w:type="dxa"/>
              <w:right w:w="12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Raised CQC ratings to Good or Outstanding at 94% of regulated sites</w:t>
            </w:r>
          </w:p>
        </w:tc>
        <w:tc>
          <w:tcPr>
            <w:tcW w:type="dxa" w:w="4819"/>
            <w:shd w:val="clear" w:color="auto" w:fill="F2F3F3"/>
            <w:vAlign w:val="top"/>
            <w:tcMar>
              <w:top w:w="90" w:type="dxa"/>
              <w:left w:w="120" w:type="dxa"/>
              <w:bottom w:w="90" w:type="dxa"/>
              <w:right w:w="20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Cut staff turnover from 38% to 21% through a new pay and career framework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</w:tbl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Career history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Chief Executive Officer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2019 – Present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Penrose Health Services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Manchester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Reports to the Chair · Revenue £710m · 19,000 people · 240 sites in the UK and Ireland · Private equity-backed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sz w:val="19"/>
        </w:rPr>
        <w:t xml:space="preserve">Appointed by the sponsor to build a national provider of community and specialist care.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More than doubled revenue through organic growth and eleven acquisitions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Won the £180m community services contract for a large NHS region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Led the 2025 secondary sale to a new sponsor at a record multiple for the sector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Introduced a clinical governance framework adopted across every division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Chief Executive Officer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2015 – 2019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Ardwick Support Services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Manchester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Reports to the Chair · Revenue £320m · 8,500 people · Facilities and support services to the NHS</w:t>
      </w:r>
    </w:p>
    <w:p>
      <w:pPr>
        <w:keepNext/>
        <w:spacing w:before="0" w:after="40"/>
      </w:pPr>
      <w:r>
        <w:rPr>
          <w:rFonts w:ascii="Calibri" w:hAnsi="Calibri" w:eastAsia="Calibri" w:cs="Calibri"/>
          <w:b w:val="0"/>
          <w:i w:val="0"/>
          <w:sz w:val="19"/>
        </w:rPr>
        <w:t xml:space="preserve">Led the business through a turnaround and its sale to a listed outsourcer.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Returned the business to profit within eighteen months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Renegotiated nine loss-making contracts and exited three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Sold the business to a listed outsourcer in 2019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Managing Director, Health Division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2010 – 2015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Corran Group plc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Leeds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Reports to the Group CEO · Revenue £190m · 4,000 people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Grew the division by 60% through NHS and local authority contracts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Led the integration of two acquired care businesses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Operations Director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2006 – 2010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Corran Group plc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Leeds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Reports to the Divisional MD · 1,800 people across 60 sites</w:t>
      </w:r>
    </w:p>
    <w:p>
      <w:pPr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Led operations for the division's hospital support contracts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Earlier roles in operations and contract management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1998 – 2006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Lomond Healthcare and Brightwell &amp; Co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Glasgow and London</w:t>
      </w:r>
    </w:p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Board and non-executive roles</w:t>
      </w:r>
    </w:p>
    <w:tbl>
      <w:tblPr>
        <w:tblLook w:firstColumn="1" w:firstRow="1" w:lastColumn="0" w:lastRow="0" w:noHBand="0" w:noVBand="1" w:val="04A0"/>
        <w:tblW w:w="963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521"/>
        <w:gridCol w:w="4303"/>
        <w:gridCol w:w="1814"/>
      </w:tblGrid>
      <w:tr>
        <w:trPr>
          <w:tblHeader/>
          <w:cantSplit/>
        </w:trPr>
        <w:tc>
          <w:tcPr>
            <w:tcW w:type="dxa" w:w="3521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Role</w:t>
            </w:r>
          </w:p>
        </w:tc>
        <w:tc>
          <w:tcPr>
            <w:tcW w:type="dxa" w:w="4303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Organisation</w:t>
            </w:r>
          </w:p>
        </w:tc>
        <w:tc>
          <w:tcPr>
            <w:tcW w:type="dxa" w:w="1814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Dates</w:t>
            </w:r>
          </w:p>
        </w:tc>
      </w:tr>
      <w:tr>
        <w:trPr>
          <w:cantSplit/>
        </w:trPr>
        <w:tc>
          <w:tcPr>
            <w:tcW w:type="dxa" w:w="3521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Non-executive Director</w:t>
            </w:r>
          </w:p>
        </w:tc>
        <w:tc>
          <w:tcPr>
            <w:tcW w:type="dxa" w:w="4303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Northmoor Hospitals NHS Foundation Trust</w:t>
            </w:r>
          </w:p>
        </w:tc>
        <w:tc>
          <w:tcPr>
            <w:tcW w:type="dxa" w:w="181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2021 – Present</w:t>
            </w:r>
          </w:p>
        </w:tc>
      </w:tr>
      <w:tr>
        <w:trPr>
          <w:cantSplit/>
        </w:trPr>
        <w:tc>
          <w:tcPr>
            <w:tcW w:type="dxa" w:w="3521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Senior Independent Director</w:t>
            </w:r>
          </w:p>
        </w:tc>
        <w:tc>
          <w:tcPr>
            <w:tcW w:type="dxa" w:w="4303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Harrowgate Care plc</w:t>
            </w:r>
          </w:p>
        </w:tc>
        <w:tc>
          <w:tcPr>
            <w:tcW w:type="dxa" w:w="181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2023 – Present</w:t>
            </w:r>
          </w:p>
        </w:tc>
      </w:tr>
      <w:tr>
        <w:trPr>
          <w:cantSplit/>
        </w:trPr>
        <w:tc>
          <w:tcPr>
            <w:tcW w:type="dxa" w:w="3521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Board member</w:t>
            </w:r>
          </w:p>
        </w:tc>
        <w:tc>
          <w:tcPr>
            <w:tcW w:type="dxa" w:w="4303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Independent Healthcare Providers Forum</w:t>
            </w:r>
          </w:p>
        </w:tc>
        <w:tc>
          <w:tcPr>
            <w:tcW w:type="dxa" w:w="181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2019 – 2024</w:t>
            </w:r>
          </w:p>
        </w:tc>
      </w:tr>
    </w:tbl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Education and affiliations</w:t>
      </w:r>
    </w:p>
    <w:tbl>
      <w:tblPr>
        <w:tblLook w:firstColumn="1" w:firstRow="1" w:lastColumn="0" w:lastRow="0" w:noHBand="0" w:noVBand="1" w:val="04A0"/>
        <w:tblW w:w="963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762"/>
        <w:gridCol w:w="340"/>
        <w:gridCol w:w="3046"/>
        <w:gridCol w:w="340"/>
        <w:gridCol w:w="2150"/>
      </w:tblGrid>
      <w:tr>
        <w:trPr>
          <w:cantSplit/>
        </w:trPr>
        <w:tc>
          <w:tcPr>
            <w:tcW w:type="dxa" w:w="3762"/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Education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sz w:val="19"/>
              </w:rPr>
              <w:t xml:space="preserve">MBA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Manchester Business School, 2008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sz w:val="19"/>
              </w:rPr>
              <w:t xml:space="preserve">BSc (Hons) Nursing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University of Glasgow, 1995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3046"/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Memberships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Fellow, Royal Society of Arts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Member, Institute of Directors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2150"/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Languages</w:t>
            </w:r>
          </w:p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English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40" w:after="40"/>
      </w:pPr>
      <w:r>
        <w:rPr>
          <w:rFonts w:ascii="Cambria" w:hAnsi="Cambria" w:eastAsia="Cambria" w:cs="Cambria"/>
          <w:b w:val="0"/>
          <w:i w:val="0"/>
          <w:color w:val="2E3338"/>
          <w:sz w:val="55"/>
        </w:rPr>
        <w:t xml:space="preserve">Thomas Brandon</w:t>
      </w:r>
    </w:p>
    <w:p>
      <w:pPr>
        <w:spacing w:before="0" w:after="20"/>
      </w:pPr>
      <w:r>
        <w:rPr>
          <w:rFonts w:ascii="Cambria" w:hAnsi="Cambria" w:eastAsia="Cambria" w:cs="Cambria"/>
          <w:b w:val="0"/>
          <w:i/>
          <w:color w:val="1F2226"/>
          <w:sz w:val="24"/>
        </w:rPr>
        <w:t xml:space="preserve">Managing Director · Specialist distribution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Bristol</w:t>
      </w:r>
    </w:p>
    <w:p>
      <w:pPr>
        <w:spacing w:before="200" w:after="0" w:line="40" w:lineRule="exact"/>
        <w:pBdr>
          <w:top w:val="single" w:sz="18" w:space="1" w:color="2E3338"/>
        </w:pBdr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 w:line="40" w:lineRule="exact"/>
        <w:pBdr>
          <w:top w:val="single" w:sz="4" w:space="1" w:color="5F6B77"/>
        </w:pBdr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20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Executive summary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 w:val="0"/>
          <w:sz w:val="21"/>
        </w:rPr>
        <w:t xml:space="preserve">Thomas has run a specialist building products distributor for six years, growing it from £40m to £65m revenue.</w:t>
      </w:r>
    </w:p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Key achievements</w:t>
      </w:r>
    </w:p>
    <w:tbl>
      <w:tblPr>
        <w:tblLook w:firstColumn="1" w:firstRow="1" w:lastColumn="0" w:lastRow="0" w:noHBand="0" w:noVBand="1" w:val="04A0"/>
        <w:tblW w:w="9638" w:type="dxa"/>
        <w:jc w:val="left"/>
        <w:tblInd w:w="2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F2F3F3"/>
            <w:vAlign w:val="top"/>
            <w:tcMar>
              <w:top w:w="90" w:type="dxa"/>
              <w:left w:w="200" w:type="dxa"/>
              <w:bottom w:w="90" w:type="dxa"/>
              <w:right w:w="12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4"/>
              </w:rPr>
              <w:t>◆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Grew revenue from £40m to £65m in six years</w:t>
            </w:r>
          </w:p>
        </w:tc>
        <w:tc>
          <w:tcPr>
            <w:tcW w:type="dxa" w:w="4819"/>
            <w:shd w:val="clear" w:color="auto" w:fill="F2F3F3"/>
            <w:vAlign w:val="top"/>
            <w:tcMar>
              <w:top w:w="90" w:type="dxa"/>
              <w:left w:w="120" w:type="dxa"/>
              <w:bottom w:w="90" w:type="dxa"/>
              <w:right w:w="200" w:type="dxa"/>
            </w:tcMar>
          </w:tcPr>
          <w:p>
            <w:pPr>
              <w:tabs>
                <w:tab w:pos="238" w:val="left"/>
              </w:tabs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</w:tc>
      </w:tr>
    </w:tbl>
    <w:p>
      <w:pPr>
        <w:keepNext/>
        <w:spacing w:before="280" w:after="120"/>
        <w:pBdr>
          <w:bottom w:val="single" w:sz="6" w:space="4" w:color="5F6B77"/>
        </w:pBdr>
      </w:pPr>
      <w:r>
        <w:rPr>
          <w:rFonts w:ascii="Cambria" w:hAnsi="Cambria" w:eastAsia="Cambria" w:cs="Cambria"/>
          <w:b w:val="0"/>
          <w:i w:val="0"/>
          <w:color w:val="2E3338"/>
          <w:sz w:val="27"/>
        </w:rPr>
        <w:t>Career history</w:t>
      </w:r>
    </w:p>
    <w:p>
      <w:pPr>
        <w:keepNext/>
        <w:tabs>
          <w:tab w:pos="9638" w:val="right"/>
        </w:tabs>
        <w:spacing w:before="180" w:after="0"/>
      </w:pP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22"/>
        </w:rPr>
        <w:t xml:space="preserve">Managing Director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2020 – Present</w:t>
      </w:r>
    </w:p>
    <w:p>
      <w:pPr>
        <w:keepNext/>
        <w:spacing w:before="0" w:after="40"/>
      </w:pPr>
      <w:r>
        <w:rPr>
          <w:rFonts w:ascii="Cambria" w:hAnsi="Cambria" w:eastAsia="Cambria" w:cs="Cambria"/>
          <w:b w:val="0"/>
          <w:i/>
          <w:color w:val="1F2226"/>
          <w:sz w:val="19"/>
        </w:rPr>
        <w:t xml:space="preserve">Severnside Building Supplies</w:t>
      </w:r>
      <w:r>
        <w:rPr>
          <w:rFonts w:ascii="Calibri" w:hAnsi="Calibri" w:eastAsia="Calibri" w:cs="Calibri"/>
          <w:b w:val="0"/>
          <w:i w:val="0"/>
          <w:color w:val="6B6D70"/>
          <w:sz w:val="19"/>
        </w:rPr>
        <w:t xml:space="preserve">, Bristol</w:t>
      </w:r>
    </w:p>
    <w:p>
      <w:pPr>
        <w:keepNext/>
        <w:spacing w:before="40" w:after="60"/>
        <w:pBdr>
          <w:left w:val="single" w:sz="12" w:space="6" w:color="5F6B77"/>
        </w:pBdr>
        <w:ind w:left="17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15"/>
        </w:rPr>
        <w:t xml:space="preserve">Scope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Revenue £65m · 210 people</w:t>
      </w:r>
    </w:p>
    <w:p>
      <w:pPr>
        <w:keepNext/>
        <w:tabs>
          <w:tab w:pos="283" w:val="left"/>
        </w:tabs>
        <w:spacing w:before="30" w:after="0"/>
        <w:ind w:left="283" w:hanging="283"/>
      </w:pPr>
      <w:r>
        <w:rPr>
          <w:rFonts w:ascii="Calibri" w:hAnsi="Calibri" w:eastAsia="Calibri" w:cs="Calibri"/>
          <w:b/>
          <w:i w:val="0"/>
          <w:color w:val="5F6B77"/>
          <w:sz w:val="19"/>
        </w:rPr>
        <w:t>—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Opened four new branches in the South West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850" w:left="113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Confidential. Prepared for the named client; not for onward distribution.</w:t>
    </w:r>
  </w:p>
  <w:p>
    <w:pPr>
      <w:tabs>
        <w:tab w:pos="963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Executive CV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CV (Two Pages)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