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ageBreakBefore/>
        <w:spacing w:before="0" w:after="0" w:line="20" w:lineRule="exact"/>
      </w:pPr>
      <w:r>
        <w:rPr>
          <w:rFonts w:ascii="Calibri" w:hAnsi="Calibri" w:eastAsia="Calibri" w:cs="Calibri"/>
          <w:b w:val="0"/>
          <w:i w:val="0"/>
          <w:sz w:val="2"/>
        </w:rPr>
      </w:r>
    </w:p>
    <w:tbl>
      <w:tblPr>
        <w:tblLook w:firstColumn="1" w:firstRow="1" w:lastColumn="0" w:lastRow="0" w:noHBand="0" w:noVBand="1" w:val="04A0"/>
        <w:tblW w:w="9866" w:type="dxa"/>
        <w:jc w:val="left"/>
        <w:tblInd w:w="320" w:type="dxa"/>
        <w:tblLayout w:type="fixed"/>
        <w:tblBorders>
          <w:top w:val="nil"/>
          <w:left w:val="nil"/>
          <w:bottom w:val="nil"/>
          <w:right w:val="nil"/>
          <w:insideH w:val="nil"/>
          <w:insideV w:val="nil"/>
        </w:tblBorders>
        <w:tblCellMar>
          <w:top w:w="0" w:type="dxa"/>
          <w:left w:w="0" w:type="dxa"/>
          <w:bottom w:w="0" w:type="dxa"/>
          <w:right w:w="0" w:type="dxa"/>
        </w:tblCellMar>
      </w:tblPr>
      <w:tblGrid>
        <w:gridCol w:w="9866"/>
      </w:tblGrid>
      <w:tr>
        <w:tc>
          <w:tcPr>
            <w:tcW w:type="dxa" w:w="9866"/>
            <w:shd w:val="clear" w:color="auto" w:fill="2E3338"/>
            <w:tcMar>
              <w:top w:w="240" w:type="dxa"/>
              <w:left w:w="320" w:type="dxa"/>
              <w:bottom w:w="240" w:type="dxa"/>
              <w:right w:w="320" w:type="dxa"/>
            </w:tcMar>
          </w:tcPr>
          <w:p>
            <w:pPr>
              <w:spacing w:before="0" w:after="80"/>
            </w:pPr>
            <w:r>
              <w:rPr>
                <w:rFonts w:ascii="Calibri" w:hAnsi="Calibri" w:eastAsia="Calibri" w:cs="Calibri"/>
                <w:b/>
                <w:i w:val="0"/>
                <w:caps/>
                <w:color w:val="979FA7"/>
                <w:sz w:val="15"/>
                <w:spacing w:val="30"/>
              </w:rPr>
              <w:t>Consultant CV</w:t>
            </w:r>
            <w:r>
              <w:rPr>
                <w:rFonts w:ascii="Calibri" w:hAnsi="Calibri" w:eastAsia="Calibri" w:cs="Calibri"/>
                <w:b w:val="0"/>
                <w:i w:val="0"/>
                <w:color w:val="C4C6C7"/>
                <w:sz w:val="16"/>
              </w:rPr>
              <w:t xml:space="preserve">   ·   Digital Transformation Partner, Lot 2 (call-off)</w:t>
            </w:r>
          </w:p>
          <w:p>
            <w:pPr>
              <w:spacing w:before="0" w:after="40"/>
            </w:pPr>
            <w:r>
              <w:rPr>
                <w:rFonts w:ascii="Cambria" w:hAnsi="Cambria" w:eastAsia="Cambria" w:cs="Cambria"/>
                <w:b w:val="0"/>
                <w:i w:val="0"/>
                <w:color w:val="FFFFFF"/>
                <w:sz w:val="48"/>
              </w:rPr>
              <w:t xml:space="preserve">Eleanor Marsh</w:t>
            </w:r>
          </w:p>
          <w:p>
            <w:pPr>
              <w:spacing w:before="0" w:after="0"/>
            </w:pPr>
            <w:r>
              <w:rPr>
                <w:rFonts w:ascii="Calibri" w:hAnsi="Calibri" w:eastAsia="Calibri" w:cs="Calibri"/>
                <w:b/>
                <w:i w:val="0"/>
                <w:color w:val="979FA7"/>
                <w:sz w:val="18"/>
              </w:rPr>
              <w:t xml:space="preserve">Proposed role  </w:t>
            </w:r>
            <w:r>
              <w:rPr>
                <w:rFonts w:ascii="Calibri" w:hAnsi="Calibri" w:eastAsia="Calibri" w:cs="Calibri"/>
                <w:b/>
                <w:i w:val="0"/>
                <w:color w:val="FFFFFF"/>
                <w:sz w:val="22"/>
              </w:rPr>
              <w:t xml:space="preserve">Delivery Lead</w:t>
            </w:r>
          </w:p>
          <w:p>
            <w:pPr>
              <w:spacing w:before="40" w:after="0"/>
            </w:pPr>
            <w:r>
              <w:rPr>
                <w:rFonts w:ascii="Calibri" w:hAnsi="Calibri" w:eastAsia="Calibri" w:cs="Calibri"/>
                <w:b w:val="0"/>
                <w:i w:val="0"/>
                <w:color w:val="C4C6C7"/>
                <w:sz w:val="19"/>
              </w:rPr>
              <w:t xml:space="preserve">Principal Consultant  ·  Halcyon Digital Advisory</w:t>
            </w:r>
          </w:p>
        </w:tc>
      </w:tr>
    </w:tbl>
    <w:tbl>
      <w:tblPr>
        <w:tblLook w:firstColumn="1" w:firstRow="1" w:lastColumn="0" w:lastRow="0" w:noHBand="0" w:noVBand="1" w:val="04A0"/>
        <w:tblW w:w="9866" w:type="dxa"/>
        <w:jc w:val="left"/>
        <w:tblInd w:w="320" w:type="dxa"/>
        <w:tblLayout w:type="fixed"/>
        <w:tblBorders>
          <w:top w:val="nil"/>
          <w:left w:val="nil"/>
          <w:bottom w:val="nil"/>
          <w:right w:val="nil"/>
          <w:insideH w:val="nil"/>
          <w:insideV w:val="nil"/>
        </w:tblBorders>
        <w:tblCellMar>
          <w:top w:w="0" w:type="dxa"/>
          <w:left w:w="0" w:type="dxa"/>
          <w:bottom w:w="0" w:type="dxa"/>
          <w:right w:w="0" w:type="dxa"/>
        </w:tblCellMar>
      </w:tblPr>
      <w:tblGrid>
        <w:gridCol w:w="2608"/>
        <w:gridCol w:w="2494"/>
        <w:gridCol w:w="2041"/>
        <w:gridCol w:w="2723"/>
      </w:tblGrid>
      <w:tr>
        <w:tc>
          <w:tcPr>
            <w:tcW w:type="dxa" w:w="2608"/>
            <w:shd w:val="clear" w:color="auto" w:fill="F1F2F3"/>
            <w:vAlign w:val="top"/>
            <w:tcBorders>
              <w:bottom w:val="single" w:sz="18" w:space="0" w:color="5F6B77"/>
            </w:tcBorders>
            <w:tcMar>
              <w:top w:w="110" w:type="dxa"/>
              <w:left w:w="320" w:type="dxa"/>
              <w:bottom w:w="120" w:type="dxa"/>
              <w:right w:w="100" w:type="dxa"/>
            </w:tcMar>
          </w:tcPr>
          <w:p>
            <w:pPr>
              <w:spacing w:before="0" w:after="40"/>
            </w:pPr>
            <w:r>
              <w:rPr>
                <w:rFonts w:ascii="Calibri" w:hAnsi="Calibri" w:eastAsia="Calibri" w:cs="Calibri"/>
                <w:b/>
                <w:i w:val="0"/>
                <w:caps/>
                <w:color w:val="5F6B77"/>
                <w:sz w:val="13"/>
                <w:spacing w:val="15"/>
              </w:rPr>
              <w:t>Day rate band</w:t>
            </w:r>
          </w:p>
          <w:p>
            <w:pPr>
              <w:spacing w:before="0" w:after="0"/>
            </w:pPr>
            <w:r>
              <w:rPr>
                <w:rFonts w:ascii="Calibri" w:hAnsi="Calibri" w:eastAsia="Calibri" w:cs="Calibri"/>
                <w:b/>
                <w:i w:val="0"/>
                <w:color w:val="2E3338"/>
                <w:sz w:val="19"/>
              </w:rPr>
              <w:t xml:space="preserve">________________</w:t>
            </w:r>
          </w:p>
        </w:tc>
        <w:tc>
          <w:tcPr>
            <w:tcW w:type="dxa" w:w="2494"/>
            <w:shd w:val="clear" w:color="auto" w:fill="F1F2F3"/>
            <w:vAlign w:val="top"/>
            <w:tcBorders>
              <w:bottom w:val="single" w:sz="18" w:space="0" w:color="5F6B77"/>
            </w:tcBorders>
            <w:tcMar>
              <w:top w:w="110" w:type="dxa"/>
              <w:left w:w="100" w:type="dxa"/>
              <w:bottom w:w="120" w:type="dxa"/>
              <w:right w:w="100" w:type="dxa"/>
            </w:tcMar>
          </w:tcPr>
          <w:p>
            <w:pPr>
              <w:spacing w:before="0" w:after="40"/>
            </w:pPr>
            <w:r>
              <w:rPr>
                <w:rFonts w:ascii="Calibri" w:hAnsi="Calibri" w:eastAsia="Calibri" w:cs="Calibri"/>
                <w:b/>
                <w:i w:val="0"/>
                <w:caps/>
                <w:color w:val="5F6B77"/>
                <w:sz w:val="13"/>
                <w:spacing w:val="15"/>
              </w:rPr>
              <w:t>Security clearance</w:t>
            </w:r>
          </w:p>
          <w:p>
            <w:pPr>
              <w:spacing w:before="0" w:after="0"/>
            </w:pPr>
            <w:r>
              <w:rPr>
                <w:rFonts w:ascii="Calibri" w:hAnsi="Calibri" w:eastAsia="Calibri" w:cs="Calibri"/>
                <w:b/>
                <w:i w:val="0"/>
                <w:color w:val="2E3338"/>
                <w:sz w:val="19"/>
              </w:rPr>
              <w:t xml:space="preserve">SC (active)</w:t>
            </w:r>
          </w:p>
        </w:tc>
        <w:tc>
          <w:tcPr>
            <w:tcW w:type="dxa" w:w="2041"/>
            <w:shd w:val="clear" w:color="auto" w:fill="F1F2F3"/>
            <w:vAlign w:val="top"/>
            <w:tcBorders>
              <w:bottom w:val="single" w:sz="18" w:space="0" w:color="5F6B77"/>
            </w:tcBorders>
            <w:tcMar>
              <w:top w:w="110" w:type="dxa"/>
              <w:left w:w="100" w:type="dxa"/>
              <w:bottom w:w="120" w:type="dxa"/>
              <w:right w:w="100" w:type="dxa"/>
            </w:tcMar>
          </w:tcPr>
          <w:p>
            <w:pPr>
              <w:spacing w:before="0" w:after="40"/>
            </w:pPr>
            <w:r>
              <w:rPr>
                <w:rFonts w:ascii="Calibri" w:hAnsi="Calibri" w:eastAsia="Calibri" w:cs="Calibri"/>
                <w:b/>
                <w:i w:val="0"/>
                <w:caps/>
                <w:color w:val="5F6B77"/>
                <w:sz w:val="13"/>
                <w:spacing w:val="15"/>
              </w:rPr>
              <w:t>Experience</w:t>
            </w:r>
          </w:p>
          <w:p>
            <w:pPr>
              <w:spacing w:before="0" w:after="0"/>
            </w:pPr>
            <w:r>
              <w:rPr>
                <w:rFonts w:ascii="Calibri" w:hAnsi="Calibri" w:eastAsia="Calibri" w:cs="Calibri"/>
                <w:b/>
                <w:i w:val="0"/>
                <w:color w:val="2E3338"/>
                <w:sz w:val="19"/>
              </w:rPr>
              <w:t xml:space="preserve">16 years</w:t>
            </w:r>
          </w:p>
        </w:tc>
        <w:tc>
          <w:tcPr>
            <w:tcW w:type="dxa" w:w="2723"/>
            <w:shd w:val="clear" w:color="auto" w:fill="F1F2F3"/>
            <w:vAlign w:val="top"/>
            <w:tcBorders>
              <w:bottom w:val="single" w:sz="18" w:space="0" w:color="5F6B77"/>
            </w:tcBorders>
            <w:tcMar>
              <w:top w:w="110" w:type="dxa"/>
              <w:left w:w="100" w:type="dxa"/>
              <w:bottom w:w="120" w:type="dxa"/>
              <w:right w:w="100" w:type="dxa"/>
            </w:tcMar>
          </w:tcPr>
          <w:p>
            <w:pPr>
              <w:spacing w:before="0" w:after="40"/>
            </w:pPr>
            <w:r>
              <w:rPr>
                <w:rFonts w:ascii="Calibri" w:hAnsi="Calibri" w:eastAsia="Calibri" w:cs="Calibri"/>
                <w:b/>
                <w:i w:val="0"/>
                <w:caps/>
                <w:color w:val="5F6B77"/>
                <w:sz w:val="13"/>
                <w:spacing w:val="15"/>
              </w:rPr>
              <w:t>Availability</w:t>
            </w:r>
          </w:p>
          <w:p>
            <w:pPr>
              <w:spacing w:before="0" w:after="0"/>
            </w:pPr>
            <w:r>
              <w:rPr>
                <w:rFonts w:ascii="Calibri" w:hAnsi="Calibri" w:eastAsia="Calibri" w:cs="Calibri"/>
                <w:b/>
                <w:i w:val="0"/>
                <w:color w:val="2E3338"/>
                <w:sz w:val="19"/>
              </w:rPr>
              <w:t xml:space="preserve">From 3 November 2026</w:t>
            </w:r>
          </w:p>
        </w:tc>
      </w:tr>
    </w:tbl>
    <w:p>
      <w:pPr>
        <w:keepNext/>
        <w:spacing w:before="240" w:after="100"/>
        <w:pBdr>
          <w:bottom w:val="single" w:sz="6" w:space="4" w:color="DFE0E1"/>
        </w:pBdr>
      </w:pPr>
      <w:r>
        <w:rPr>
          <w:rFonts w:ascii="Cambria" w:hAnsi="Cambria" w:eastAsia="Cambria" w:cs="Cambria"/>
          <w:b w:val="0"/>
          <w:i w:val="0"/>
          <w:color w:val="2E3338"/>
          <w:sz w:val="25"/>
        </w:rPr>
        <w:t>Profile</w:t>
      </w:r>
    </w:p>
    <w:p>
      <w:pPr>
        <w:spacing w:before="0" w:after="0"/>
        <w:jc w:val="both"/>
      </w:pPr>
      <w:r>
        <w:rPr>
          <w:rFonts w:ascii="Calibri" w:hAnsi="Calibri" w:eastAsia="Calibri" w:cs="Calibri"/>
          <w:b w:val="0"/>
          <w:i w:val="0"/>
          <w:sz w:val="19"/>
        </w:rPr>
        <w:t xml:space="preserve">Eleanor leads digital and operational transformation programmes for public-sector bodies. She has run agile delivery teams of up to 40 people across discovery, alpha and live, and specialises in moving legacy casework services onto cloud platforms without disrupting citizens.</w:t>
      </w:r>
    </w:p>
    <w:p>
      <w:pPr>
        <w:keepNext/>
        <w:spacing w:before="240" w:after="100"/>
        <w:pBdr>
          <w:bottom w:val="single" w:sz="6" w:space="4" w:color="DFE0E1"/>
        </w:pBdr>
      </w:pPr>
      <w:r>
        <w:rPr>
          <w:rFonts w:ascii="Cambria" w:hAnsi="Cambria" w:eastAsia="Cambria" w:cs="Cambria"/>
          <w:b w:val="0"/>
          <w:i w:val="0"/>
          <w:color w:val="2E3338"/>
          <w:sz w:val="25"/>
        </w:rPr>
        <w:t>SFIA skills and levels</w:t>
      </w:r>
    </w:p>
    <w:tbl>
      <w:tblPr>
        <w:tblLook w:firstColumn="1" w:firstRow="1" w:lastColumn="0" w:lastRow="0" w:noHBand="0" w:noVBand="1" w:val="04A0"/>
        <w:tblW w:w="6804" w:type="dxa"/>
        <w:jc w:val="left"/>
        <w:tblInd w:w="110" w:type="dxa"/>
        <w:tblLayout w:type="fixed"/>
        <w:tblBorders>
          <w:top w:val="nil"/>
          <w:left w:val="nil"/>
          <w:bottom w:val="nil"/>
          <w:right w:val="nil"/>
          <w:insideH w:val="nil"/>
          <w:insideV w:val="nil"/>
        </w:tblBorders>
        <w:tblCellMar>
          <w:top w:w="0" w:type="dxa"/>
          <w:left w:w="0" w:type="dxa"/>
          <w:bottom w:w="0" w:type="dxa"/>
          <w:right w:w="0" w:type="dxa"/>
        </w:tblCellMar>
      </w:tblPr>
      <w:tblGrid>
        <w:gridCol w:w="4309"/>
        <w:gridCol w:w="1361"/>
        <w:gridCol w:w="1134"/>
      </w:tblGrid>
      <w:tr>
        <w:trPr>
          <w:tblHeader/>
          <w:cantSplit/>
        </w:trPr>
        <w:tc>
          <w:tcPr>
            <w:tcW w:type="dxa" w:w="4309"/>
            <w:shd w:val="clear" w:color="auto" w:fill="2E3338"/>
            <w:vAlign w:val="center"/>
            <w:tcMar>
              <w:top w:w="70" w:type="dxa"/>
              <w:left w:w="110" w:type="dxa"/>
              <w:bottom w:w="70" w:type="dxa"/>
              <w:right w:w="110" w:type="dxa"/>
            </w:tcMar>
          </w:tcPr>
          <w:p>
            <w:pPr>
              <w:keepNext/>
              <w:spacing w:before="0" w:after="0"/>
            </w:pPr>
            <w:r>
              <w:rPr>
                <w:rFonts w:ascii="Calibri" w:hAnsi="Calibri" w:eastAsia="Calibri" w:cs="Calibri"/>
                <w:b/>
                <w:i w:val="0"/>
                <w:caps/>
                <w:color w:val="FFFFFF"/>
                <w:sz w:val="15"/>
                <w:spacing w:val="15"/>
              </w:rPr>
              <w:t>Skill</w:t>
            </w:r>
          </w:p>
        </w:tc>
        <w:tc>
          <w:tcPr>
            <w:tcW w:type="dxa" w:w="1361"/>
            <w:shd w:val="clear" w:color="auto" w:fill="2E3338"/>
            <w:vAlign w:val="center"/>
            <w:tcMar>
              <w:top w:w="70" w:type="dxa"/>
              <w:left w:w="110" w:type="dxa"/>
              <w:bottom w:w="70" w:type="dxa"/>
              <w:right w:w="110" w:type="dxa"/>
            </w:tcMar>
          </w:tcPr>
          <w:p>
            <w:pPr>
              <w:keepNext/>
              <w:spacing w:before="0" w:after="0"/>
            </w:pPr>
            <w:r>
              <w:rPr>
                <w:rFonts w:ascii="Calibri" w:hAnsi="Calibri" w:eastAsia="Calibri" w:cs="Calibri"/>
                <w:b/>
                <w:i w:val="0"/>
                <w:caps/>
                <w:color w:val="FFFFFF"/>
                <w:sz w:val="15"/>
                <w:spacing w:val="15"/>
              </w:rPr>
              <w:t>Code</w:t>
            </w:r>
          </w:p>
        </w:tc>
        <w:tc>
          <w:tcPr>
            <w:tcW w:type="dxa" w:w="1134"/>
            <w:shd w:val="clear" w:color="auto" w:fill="2E3338"/>
            <w:vAlign w:val="center"/>
            <w:tcMar>
              <w:top w:w="70" w:type="dxa"/>
              <w:left w:w="110" w:type="dxa"/>
              <w:bottom w:w="70" w:type="dxa"/>
              <w:right w:w="110" w:type="dxa"/>
            </w:tcMar>
          </w:tcPr>
          <w:p>
            <w:pPr>
              <w:keepNext/>
              <w:spacing w:before="0" w:after="0"/>
            </w:pPr>
            <w:r>
              <w:rPr>
                <w:rFonts w:ascii="Calibri" w:hAnsi="Calibri" w:eastAsia="Calibri" w:cs="Calibri"/>
                <w:b/>
                <w:i w:val="0"/>
                <w:caps/>
                <w:color w:val="FFFFFF"/>
                <w:sz w:val="15"/>
                <w:spacing w:val="15"/>
              </w:rPr>
              <w:t>Level</w:t>
            </w:r>
          </w:p>
        </w:tc>
      </w:tr>
      <w:tr>
        <w:trPr>
          <w:cantSplit/>
        </w:trPr>
        <w:tc>
          <w:tcPr>
            <w:tcW w:type="dxa" w:w="4309"/>
            <w:tcBorders>
              <w:bottom w:val="single" w:sz="4" w:space="0" w:color="DFE0E1"/>
            </w:tcBorders>
            <w:vAlign w:val="top"/>
            <w:tcMar>
              <w:top w:w="55" w:type="dxa"/>
              <w:left w:w="110" w:type="dxa"/>
              <w:bottom w:w="55" w:type="dxa"/>
              <w:right w:w="110" w:type="dxa"/>
            </w:tcMar>
          </w:tcPr>
          <w:p>
            <w:r>
              <w:rPr>
                <w:rFonts w:ascii="Calibri" w:hAnsi="Calibri" w:eastAsia="Calibri" w:cs="Calibri"/>
                <w:b/>
                <w:i w:val="0"/>
                <w:color w:val="2E3338"/>
                <w:sz w:val="18"/>
              </w:rPr>
              <w:t xml:space="preserve">Programme management</w:t>
            </w:r>
          </w:p>
        </w:tc>
        <w:tc>
          <w:tcPr>
            <w:tcW w:type="dxa" w:w="1361"/>
            <w:tcBorders>
              <w:bottom w:val="single" w:sz="4" w:space="0" w:color="DFE0E1"/>
            </w:tcBorders>
            <w:vAlign w:val="top"/>
            <w:tcMar>
              <w:top w:w="55" w:type="dxa"/>
              <w:left w:w="110" w:type="dxa"/>
              <w:bottom w:w="55" w:type="dxa"/>
              <w:right w:w="110" w:type="dxa"/>
            </w:tcMar>
          </w:tcPr>
          <w:p>
            <w:r>
              <w:rPr>
                <w:rFonts w:ascii="Calibri" w:hAnsi="Calibri" w:eastAsia="Calibri" w:cs="Calibri"/>
                <w:b/>
                <w:i w:val="0"/>
                <w:color w:val="5F6B77"/>
                <w:sz w:val="18"/>
              </w:rPr>
              <w:t xml:space="preserve">PGMG</w:t>
            </w:r>
          </w:p>
        </w:tc>
        <w:tc>
          <w:tcPr>
            <w:tcW w:type="dxa" w:w="1134"/>
            <w:tcBorders>
              <w:bottom w:val="single" w:sz="4" w:space="0" w:color="DFE0E1"/>
            </w:tcBorders>
            <w:vAlign w:val="top"/>
            <w:tcMar>
              <w:top w:w="55" w:type="dxa"/>
              <w:left w:w="110" w:type="dxa"/>
              <w:bottom w:w="55" w:type="dxa"/>
              <w:right w:w="110" w:type="dxa"/>
            </w:tcMar>
          </w:tcPr>
          <w:p>
            <w:r>
              <w:rPr>
                <w:rFonts w:ascii="Calibri" w:hAnsi="Calibri" w:eastAsia="Calibri" w:cs="Calibri"/>
                <w:b/>
                <w:i w:val="0"/>
                <w:sz w:val="18"/>
              </w:rPr>
              <w:t xml:space="preserve">6</w:t>
            </w:r>
          </w:p>
        </w:tc>
      </w:tr>
      <w:tr>
        <w:trPr>
          <w:cantSplit/>
        </w:trPr>
        <w:tc>
          <w:tcPr>
            <w:tcW w:type="dxa" w:w="4309"/>
            <w:tcBorders>
              <w:bottom w:val="single" w:sz="4" w:space="0" w:color="DFE0E1"/>
            </w:tcBorders>
            <w:vAlign w:val="top"/>
            <w:tcMar>
              <w:top w:w="55" w:type="dxa"/>
              <w:left w:w="110" w:type="dxa"/>
              <w:bottom w:w="55" w:type="dxa"/>
              <w:right w:w="110" w:type="dxa"/>
            </w:tcMar>
          </w:tcPr>
          <w:p>
            <w:r>
              <w:rPr>
                <w:rFonts w:ascii="Calibri" w:hAnsi="Calibri" w:eastAsia="Calibri" w:cs="Calibri"/>
                <w:b/>
                <w:i w:val="0"/>
                <w:color w:val="2E3338"/>
                <w:sz w:val="18"/>
              </w:rPr>
              <w:t xml:space="preserve">Delivery management</w:t>
            </w:r>
          </w:p>
        </w:tc>
        <w:tc>
          <w:tcPr>
            <w:tcW w:type="dxa" w:w="1361"/>
            <w:tcBorders>
              <w:bottom w:val="single" w:sz="4" w:space="0" w:color="DFE0E1"/>
            </w:tcBorders>
            <w:vAlign w:val="top"/>
            <w:tcMar>
              <w:top w:w="55" w:type="dxa"/>
              <w:left w:w="110" w:type="dxa"/>
              <w:bottom w:w="55" w:type="dxa"/>
              <w:right w:w="110" w:type="dxa"/>
            </w:tcMar>
          </w:tcPr>
          <w:p>
            <w:r>
              <w:rPr>
                <w:rFonts w:ascii="Calibri" w:hAnsi="Calibri" w:eastAsia="Calibri" w:cs="Calibri"/>
                <w:b/>
                <w:i w:val="0"/>
                <w:color w:val="5F6B77"/>
                <w:sz w:val="18"/>
              </w:rPr>
              <w:t xml:space="preserve">DEMG</w:t>
            </w:r>
          </w:p>
        </w:tc>
        <w:tc>
          <w:tcPr>
            <w:tcW w:type="dxa" w:w="1134"/>
            <w:tcBorders>
              <w:bottom w:val="single" w:sz="4" w:space="0" w:color="DFE0E1"/>
            </w:tcBorders>
            <w:vAlign w:val="top"/>
            <w:tcMar>
              <w:top w:w="55" w:type="dxa"/>
              <w:left w:w="110" w:type="dxa"/>
              <w:bottom w:w="55" w:type="dxa"/>
              <w:right w:w="110" w:type="dxa"/>
            </w:tcMar>
          </w:tcPr>
          <w:p>
            <w:r>
              <w:rPr>
                <w:rFonts w:ascii="Calibri" w:hAnsi="Calibri" w:eastAsia="Calibri" w:cs="Calibri"/>
                <w:b/>
                <w:i w:val="0"/>
                <w:sz w:val="18"/>
              </w:rPr>
              <w:t xml:space="preserve">6</w:t>
            </w:r>
          </w:p>
        </w:tc>
      </w:tr>
      <w:tr>
        <w:trPr>
          <w:cantSplit/>
        </w:trPr>
        <w:tc>
          <w:tcPr>
            <w:tcW w:type="dxa" w:w="4309"/>
            <w:tcBorders>
              <w:bottom w:val="single" w:sz="4" w:space="0" w:color="DFE0E1"/>
            </w:tcBorders>
            <w:vAlign w:val="top"/>
            <w:tcMar>
              <w:top w:w="55" w:type="dxa"/>
              <w:left w:w="110" w:type="dxa"/>
              <w:bottom w:w="55" w:type="dxa"/>
              <w:right w:w="110" w:type="dxa"/>
            </w:tcMar>
          </w:tcPr>
          <w:p>
            <w:r>
              <w:rPr>
                <w:rFonts w:ascii="Calibri" w:hAnsi="Calibri" w:eastAsia="Calibri" w:cs="Calibri"/>
                <w:b/>
                <w:i w:val="0"/>
                <w:color w:val="2E3338"/>
                <w:sz w:val="18"/>
              </w:rPr>
              <w:t xml:space="preserve">Business modelling</w:t>
            </w:r>
          </w:p>
        </w:tc>
        <w:tc>
          <w:tcPr>
            <w:tcW w:type="dxa" w:w="1361"/>
            <w:tcBorders>
              <w:bottom w:val="single" w:sz="4" w:space="0" w:color="DFE0E1"/>
            </w:tcBorders>
            <w:vAlign w:val="top"/>
            <w:tcMar>
              <w:top w:w="55" w:type="dxa"/>
              <w:left w:w="110" w:type="dxa"/>
              <w:bottom w:w="55" w:type="dxa"/>
              <w:right w:w="110" w:type="dxa"/>
            </w:tcMar>
          </w:tcPr>
          <w:p>
            <w:r>
              <w:rPr>
                <w:rFonts w:ascii="Calibri" w:hAnsi="Calibri" w:eastAsia="Calibri" w:cs="Calibri"/>
                <w:b/>
                <w:i w:val="0"/>
                <w:color w:val="5F6B77"/>
                <w:sz w:val="18"/>
              </w:rPr>
              <w:t xml:space="preserve">BSMO</w:t>
            </w:r>
          </w:p>
        </w:tc>
        <w:tc>
          <w:tcPr>
            <w:tcW w:type="dxa" w:w="1134"/>
            <w:tcBorders>
              <w:bottom w:val="single" w:sz="4" w:space="0" w:color="DFE0E1"/>
            </w:tcBorders>
            <w:vAlign w:val="top"/>
            <w:tcMar>
              <w:top w:w="55" w:type="dxa"/>
              <w:left w:w="110" w:type="dxa"/>
              <w:bottom w:w="55" w:type="dxa"/>
              <w:right w:w="110" w:type="dxa"/>
            </w:tcMar>
          </w:tcPr>
          <w:p>
            <w:r>
              <w:rPr>
                <w:rFonts w:ascii="Calibri" w:hAnsi="Calibri" w:eastAsia="Calibri" w:cs="Calibri"/>
                <w:b/>
                <w:i w:val="0"/>
                <w:sz w:val="18"/>
              </w:rPr>
              <w:t xml:space="preserve">5</w:t>
            </w:r>
          </w:p>
        </w:tc>
      </w:tr>
    </w:tbl>
    <w:p>
      <w:pPr>
        <w:keepNext/>
        <w:spacing w:before="240" w:after="100"/>
        <w:pBdr>
          <w:bottom w:val="single" w:sz="6" w:space="4" w:color="DFE0E1"/>
        </w:pBdr>
      </w:pPr>
      <w:r>
        <w:rPr>
          <w:rFonts w:ascii="Cambria" w:hAnsi="Cambria" w:eastAsia="Cambria" w:cs="Cambria"/>
          <w:b w:val="0"/>
          <w:i w:val="0"/>
          <w:color w:val="2E3338"/>
          <w:sz w:val="25"/>
        </w:rPr>
        <w:t>Sector experience and key skills</w:t>
      </w:r>
    </w:p>
    <w:p>
      <w:pPr>
        <w:spacing w:before="40" w:after="20"/>
      </w:pPr>
      <w:r>
        <w:rPr>
          <w:rFonts w:ascii="Calibri" w:hAnsi="Calibri" w:eastAsia="Calibri" w:cs="Calibri"/>
          <w:b/>
          <w:i w:val="0"/>
          <w:caps/>
          <w:color w:val="5F6B77"/>
          <w:sz w:val="14"/>
          <w:spacing w:val="30"/>
        </w:rPr>
        <w:t>Sectors</w:t>
      </w:r>
    </w:p>
    <w:p>
      <w:pPr>
        <w:spacing w:before="0" w:after="40" w:line="420" w:lineRule="auto"/>
      </w:pPr>
      <w:r>
        <w:rPr>
          <w:rFonts w:ascii="Calibri" w:hAnsi="Calibri" w:eastAsia="Calibri" w:cs="Calibri"/>
          <w:b w:val="0"/>
          <w:i w:val="0"/>
          <w:sz w:val="17"/>
        </w:rPr>
        <w:t xml:space="preserve"/>
      </w:r>
      <w:r>
        <w:rPr>
          <w:rFonts w:ascii="Calibri" w:hAnsi="Calibri" w:eastAsia="Calibri" w:cs="Calibri"/>
          <w:b/>
          <w:i w:val="0"/>
          <w:color w:val="2E3338"/>
          <w:sz w:val="17"/>
          <w:shd w:val="clear" w:color="auto" w:fill="F1F2F3"/>
        </w:rPr>
        <w:t xml:space="preserve">  Central government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Health &amp; social care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Local government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Justice  </w:t>
      </w:r>
      <w:r>
        <w:rPr>
          <w:rFonts w:ascii="Calibri" w:hAnsi="Calibri" w:eastAsia="Calibri" w:cs="Calibri"/>
          <w:b w:val="0"/>
          <w:i w:val="0"/>
          <w:sz w:val="17"/>
        </w:rPr>
        <w:t xml:space="preserve"/>
      </w:r>
    </w:p>
    <w:p>
      <w:pPr>
        <w:spacing w:before="80" w:after="20"/>
      </w:pPr>
      <w:r>
        <w:rPr>
          <w:rFonts w:ascii="Calibri" w:hAnsi="Calibri" w:eastAsia="Calibri" w:cs="Calibri"/>
          <w:b/>
          <w:i w:val="0"/>
          <w:caps/>
          <w:color w:val="5F6B77"/>
          <w:sz w:val="14"/>
          <w:spacing w:val="30"/>
        </w:rPr>
        <w:t>Key skills</w:t>
      </w:r>
    </w:p>
    <w:p>
      <w:pPr>
        <w:spacing w:before="0" w:after="40" w:line="420" w:lineRule="auto"/>
      </w:pPr>
      <w:r>
        <w:rPr>
          <w:rFonts w:ascii="Calibri" w:hAnsi="Calibri" w:eastAsia="Calibri" w:cs="Calibri"/>
          <w:b w:val="0"/>
          <w:i w:val="0"/>
          <w:sz w:val="17"/>
        </w:rPr>
        <w:t xml:space="preserve"/>
      </w:r>
      <w:r>
        <w:rPr>
          <w:rFonts w:ascii="Calibri" w:hAnsi="Calibri" w:eastAsia="Calibri" w:cs="Calibri"/>
          <w:b/>
          <w:i w:val="0"/>
          <w:color w:val="2E3338"/>
          <w:sz w:val="17"/>
          <w:shd w:val="clear" w:color="auto" w:fill="F1F2F3"/>
        </w:rPr>
        <w:t xml:space="preserve">  Agile delivery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GDS service assessments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Discovery and alpha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Stakeholder management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Cloud migration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Benefits realisation  </w:t>
      </w:r>
      <w:r>
        <w:rPr>
          <w:rFonts w:ascii="Calibri" w:hAnsi="Calibri" w:eastAsia="Calibri" w:cs="Calibri"/>
          <w:b w:val="0"/>
          <w:i w:val="0"/>
          <w:sz w:val="17"/>
        </w:rPr>
        <w:t xml:space="preserve"/>
      </w:r>
    </w:p>
    <w:p>
      <w:pPr>
        <w:keepNext/>
        <w:spacing w:before="240" w:after="100"/>
        <w:pBdr>
          <w:bottom w:val="single" w:sz="6" w:space="4" w:color="DFE0E1"/>
        </w:pBdr>
      </w:pPr>
      <w:r>
        <w:rPr>
          <w:rFonts w:ascii="Cambria" w:hAnsi="Cambria" w:eastAsia="Cambria" w:cs="Cambria"/>
          <w:b w:val="0"/>
          <w:i w:val="0"/>
          <w:color w:val="2E3338"/>
          <w:sz w:val="25"/>
        </w:rPr>
        <w:t>Case studies</w:t>
      </w:r>
    </w:p>
    <w:tbl>
      <w:tblPr>
        <w:tblLook w:firstColumn="1" w:firstRow="1" w:lastColumn="0" w:lastRow="0" w:noHBand="0" w:noVBand="1" w:val="04A0"/>
        <w:tblW w:w="9866" w:type="dxa"/>
        <w:jc w:val="left"/>
        <w:tblInd w:w="180" w:type="dxa"/>
        <w:tblLayout w:type="fixed"/>
        <w:tblBorders>
          <w:top w:val="nil"/>
          <w:left w:val="nil"/>
          <w:bottom w:val="nil"/>
          <w:right w:val="nil"/>
          <w:insideH w:val="nil"/>
          <w:insideV w:val="nil"/>
        </w:tblBorders>
        <w:tblCellMar>
          <w:top w:w="0" w:type="dxa"/>
          <w:left w:w="0" w:type="dxa"/>
          <w:bottom w:w="0" w:type="dxa"/>
          <w:right w:w="0" w:type="dxa"/>
        </w:tblCellMar>
      </w:tblPr>
      <w:tblGrid>
        <w:gridCol w:w="2041"/>
        <w:gridCol w:w="7825"/>
      </w:tblGrid>
      <w:tr>
        <w:trPr>
          <w:cantSplit/>
        </w:trPr>
        <w:tc>
          <w:tcPr>
            <w:tcW w:type="dxa" w:w="2041"/>
            <w:shd w:val="clear" w:color="auto" w:fill="F2F3F3"/>
            <w:vAlign w:val="top"/>
            <w:tcBorders>
              <w:top w:val="single" w:sz="12" w:space="0" w:color="FFFFFF"/>
              <w:left w:val="single" w:sz="30" w:space="0" w:color="5F6B77"/>
              <w:bottom w:val="single" w:sz="12" w:space="0" w:color="FFFFFF"/>
            </w:tcBorders>
            <w:tcMar>
              <w:top w:w="120" w:type="dxa"/>
              <w:left w:w="180" w:type="dxa"/>
              <w:bottom w:w="120" w:type="dxa"/>
              <w:right w:w="140" w:type="dxa"/>
            </w:tcMar>
          </w:tcPr>
          <w:p>
            <w:pPr>
              <w:spacing w:before="0" w:after="60"/>
            </w:pPr>
            <w:r>
              <w:rPr>
                <w:rFonts w:ascii="Cambria" w:hAnsi="Cambria" w:eastAsia="Cambria" w:cs="Cambria"/>
                <w:b w:val="0"/>
                <w:i w:val="0"/>
                <w:color w:val="5F6B77"/>
                <w:sz w:val="30"/>
              </w:rPr>
              <w:t xml:space="preserve">01</w:t>
            </w:r>
          </w:p>
          <w:p>
            <w:pPr>
              <w:spacing w:before="0" w:after="0"/>
            </w:pPr>
            <w:r>
              <w:rPr>
                <w:rFonts w:ascii="Calibri" w:hAnsi="Calibri" w:eastAsia="Calibri" w:cs="Calibri"/>
                <w:b/>
                <w:i w:val="0"/>
                <w:caps/>
                <w:color w:val="5F6B77"/>
                <w:sz w:val="14"/>
                <w:spacing w:val="10"/>
              </w:rPr>
              <w:t>Client sector</w:t>
            </w:r>
          </w:p>
          <w:p>
            <w:pPr>
              <w:spacing w:before="0" w:after="0"/>
            </w:pPr>
            <w:r>
              <w:rPr>
                <w:rFonts w:ascii="Calibri" w:hAnsi="Calibri" w:eastAsia="Calibri" w:cs="Calibri"/>
                <w:b/>
                <w:i w:val="0"/>
                <w:color w:val="2E3338"/>
                <w:sz w:val="18"/>
              </w:rPr>
              <w:t xml:space="preserve">Central government department</w:t>
            </w:r>
          </w:p>
        </w:tc>
        <w:tc>
          <w:tcPr>
            <w:tcW w:type="dxa" w:w="7825"/>
            <w:vAlign w:val="top"/>
            <w:tcBorders>
              <w:top w:val="single" w:sz="12" w:space="0" w:color="FFFFFF"/>
              <w:bottom w:val="single" w:sz="4" w:space="0" w:color="DFE0E1"/>
            </w:tcBorders>
            <w:tcMar>
              <w:top w:w="120" w:type="dxa"/>
              <w:left w:w="240" w:type="dxa"/>
              <w:bottom w:w="140" w:type="dxa"/>
              <w:right w:w="0" w:type="dxa"/>
            </w:tcMar>
          </w:tcPr>
          <w:p>
            <w:pPr>
              <w:keepNext/>
              <w:spacing w:before="0" w:after="60"/>
            </w:pPr>
            <w:r>
              <w:rPr>
                <w:rFonts w:ascii="Calibri" w:hAnsi="Calibri" w:eastAsia="Calibri" w:cs="Calibri"/>
                <w:b/>
                <w:i w:val="0"/>
                <w:color w:val="2E3338"/>
                <w:sz w:val="21"/>
              </w:rPr>
              <w:t xml:space="preserve">Casework service moved to the cloud</w:t>
            </w:r>
          </w:p>
          <w:p>
            <w:pPr>
              <w:spacing w:before="40" w:after="0"/>
              <w:jc w:val="both"/>
            </w:pPr>
            <w:r>
              <w:rPr>
                <w:rFonts w:ascii="Calibri" w:hAnsi="Calibri" w:eastAsia="Calibri" w:cs="Calibri"/>
                <w:b/>
                <w:i w:val="0"/>
                <w:color w:val="5F6B77"/>
                <w:sz w:val="18"/>
              </w:rPr>
              <w:t xml:space="preserve">Challenge  </w:t>
            </w:r>
            <w:r>
              <w:rPr>
                <w:rFonts w:ascii="Calibri" w:hAnsi="Calibri" w:eastAsia="Calibri" w:cs="Calibri"/>
                <w:b w:val="0"/>
                <w:i w:val="0"/>
                <w:sz w:val="18"/>
              </w:rPr>
              <w:t xml:space="preserve">A 20-year-old casework system handled 1.2m applications a year and was out of support.</w:t>
            </w:r>
          </w:p>
          <w:p>
            <w:pPr>
              <w:spacing w:before="40" w:after="0"/>
              <w:jc w:val="both"/>
            </w:pPr>
            <w:r>
              <w:rPr>
                <w:rFonts w:ascii="Calibri" w:hAnsi="Calibri" w:eastAsia="Calibri" w:cs="Calibri"/>
                <w:b/>
                <w:i w:val="0"/>
                <w:color w:val="5F6B77"/>
                <w:sz w:val="18"/>
              </w:rPr>
              <w:t xml:space="preserve">Approach  </w:t>
            </w:r>
            <w:r>
              <w:rPr>
                <w:rFonts w:ascii="Calibri" w:hAnsi="Calibri" w:eastAsia="Calibri" w:cs="Calibri"/>
                <w:b w:val="0"/>
                <w:i w:val="0"/>
                <w:sz w:val="18"/>
              </w:rPr>
              <w:t xml:space="preserve">Led discovery, a phased migration plan and four agile teams through alpha, beta and live.</w:t>
            </w:r>
          </w:p>
          <w:p>
            <w:pPr>
              <w:spacing w:before="40" w:after="0"/>
              <w:jc w:val="both"/>
            </w:pPr>
            <w:r>
              <w:rPr>
                <w:rFonts w:ascii="Calibri" w:hAnsi="Calibri" w:eastAsia="Calibri" w:cs="Calibri"/>
                <w:b/>
                <w:i w:val="0"/>
                <w:color w:val="5F6B77"/>
                <w:sz w:val="18"/>
              </w:rPr>
              <w:t xml:space="preserve">Outcome  </w:t>
            </w:r>
            <w:r>
              <w:rPr>
                <w:rFonts w:ascii="Calibri" w:hAnsi="Calibri" w:eastAsia="Calibri" w:cs="Calibri"/>
                <w:b w:val="0"/>
                <w:i w:val="0"/>
                <w:sz w:val="18"/>
              </w:rPr>
              <w:t xml:space="preserve">Service live in 14 months; processing time down 38%; passed the live service assessment.</w:t>
            </w:r>
          </w:p>
        </w:tc>
      </w:tr>
      <w:tr>
        <w:trPr>
          <w:cantSplit/>
        </w:trPr>
        <w:tc>
          <w:tcPr>
            <w:tcW w:type="dxa" w:w="2041"/>
            <w:shd w:val="clear" w:color="auto" w:fill="F2F3F3"/>
            <w:vAlign w:val="top"/>
            <w:tcBorders>
              <w:top w:val="single" w:sz="12" w:space="0" w:color="FFFFFF"/>
              <w:left w:val="single" w:sz="30" w:space="0" w:color="5F6B77"/>
              <w:bottom w:val="single" w:sz="12" w:space="0" w:color="FFFFFF"/>
            </w:tcBorders>
            <w:tcMar>
              <w:top w:w="120" w:type="dxa"/>
              <w:left w:w="180" w:type="dxa"/>
              <w:bottom w:w="120" w:type="dxa"/>
              <w:right w:w="140" w:type="dxa"/>
            </w:tcMar>
          </w:tcPr>
          <w:p>
            <w:pPr>
              <w:spacing w:before="0" w:after="60"/>
            </w:pPr>
            <w:r>
              <w:rPr>
                <w:rFonts w:ascii="Cambria" w:hAnsi="Cambria" w:eastAsia="Cambria" w:cs="Cambria"/>
                <w:b w:val="0"/>
                <w:i w:val="0"/>
                <w:color w:val="5F6B77"/>
                <w:sz w:val="30"/>
              </w:rPr>
              <w:t xml:space="preserve">02</w:t>
            </w:r>
          </w:p>
          <w:p>
            <w:pPr>
              <w:spacing w:before="0" w:after="0"/>
            </w:pPr>
            <w:r>
              <w:rPr>
                <w:rFonts w:ascii="Calibri" w:hAnsi="Calibri" w:eastAsia="Calibri" w:cs="Calibri"/>
                <w:b/>
                <w:i w:val="0"/>
                <w:caps/>
                <w:color w:val="5F6B77"/>
                <w:sz w:val="14"/>
                <w:spacing w:val="10"/>
              </w:rPr>
              <w:t>Client sector</w:t>
            </w:r>
          </w:p>
          <w:p>
            <w:pPr>
              <w:spacing w:before="0" w:after="0"/>
            </w:pPr>
            <w:r>
              <w:rPr>
                <w:rFonts w:ascii="Calibri" w:hAnsi="Calibri" w:eastAsia="Calibri" w:cs="Calibri"/>
                <w:b/>
                <w:i w:val="0"/>
                <w:color w:val="2E3338"/>
                <w:sz w:val="18"/>
              </w:rPr>
              <w:t xml:space="preserve">NHS integrated care board</w:t>
            </w:r>
          </w:p>
        </w:tc>
        <w:tc>
          <w:tcPr>
            <w:tcW w:type="dxa" w:w="7825"/>
            <w:vAlign w:val="top"/>
            <w:tcBorders>
              <w:top w:val="single" w:sz="12" w:space="0" w:color="FFFFFF"/>
              <w:bottom w:val="single" w:sz="4" w:space="0" w:color="DFE0E1"/>
            </w:tcBorders>
            <w:tcMar>
              <w:top w:w="120" w:type="dxa"/>
              <w:left w:w="240" w:type="dxa"/>
              <w:bottom w:w="140" w:type="dxa"/>
              <w:right w:w="0" w:type="dxa"/>
            </w:tcMar>
          </w:tcPr>
          <w:p>
            <w:pPr>
              <w:keepNext/>
              <w:spacing w:before="0" w:after="60"/>
            </w:pPr>
            <w:r>
              <w:rPr>
                <w:rFonts w:ascii="Calibri" w:hAnsi="Calibri" w:eastAsia="Calibri" w:cs="Calibri"/>
                <w:b/>
                <w:i w:val="0"/>
                <w:color w:val="2E3338"/>
                <w:sz w:val="21"/>
              </w:rPr>
              <w:t xml:space="preserve">Integrated care referrals</w:t>
            </w:r>
          </w:p>
          <w:p>
            <w:pPr>
              <w:spacing w:before="40" w:after="0"/>
              <w:jc w:val="both"/>
            </w:pPr>
            <w:r>
              <w:rPr>
                <w:rFonts w:ascii="Calibri" w:hAnsi="Calibri" w:eastAsia="Calibri" w:cs="Calibri"/>
                <w:b/>
                <w:i w:val="0"/>
                <w:color w:val="5F6B77"/>
                <w:sz w:val="18"/>
              </w:rPr>
              <w:t xml:space="preserve">Challenge  </w:t>
            </w:r>
            <w:r>
              <w:rPr>
                <w:rFonts w:ascii="Calibri" w:hAnsi="Calibri" w:eastAsia="Calibri" w:cs="Calibri"/>
                <w:b w:val="0"/>
                <w:i w:val="0"/>
                <w:sz w:val="18"/>
              </w:rPr>
              <w:t xml:space="preserve">Referrals between eight providers relied on email and fax.</w:t>
            </w:r>
          </w:p>
          <w:p>
            <w:pPr>
              <w:spacing w:before="40" w:after="0"/>
              <w:jc w:val="both"/>
            </w:pPr>
            <w:r>
              <w:rPr>
                <w:rFonts w:ascii="Calibri" w:hAnsi="Calibri" w:eastAsia="Calibri" w:cs="Calibri"/>
                <w:b/>
                <w:i w:val="0"/>
                <w:color w:val="5F6B77"/>
                <w:sz w:val="18"/>
              </w:rPr>
              <w:t xml:space="preserve">Approach  </w:t>
            </w:r>
            <w:r>
              <w:rPr>
                <w:rFonts w:ascii="Calibri" w:hAnsi="Calibri" w:eastAsia="Calibri" w:cs="Calibri"/>
                <w:b w:val="0"/>
                <w:i w:val="0"/>
                <w:sz w:val="18"/>
              </w:rPr>
              <w:t xml:space="preserve">Ran user research with clinicians and delivered a shared referral service on an existing platform.</w:t>
            </w:r>
          </w:p>
          <w:p>
            <w:pPr>
              <w:spacing w:before="40" w:after="0"/>
              <w:jc w:val="both"/>
            </w:pPr>
            <w:r>
              <w:rPr>
                <w:rFonts w:ascii="Calibri" w:hAnsi="Calibri" w:eastAsia="Calibri" w:cs="Calibri"/>
                <w:b/>
                <w:i w:val="0"/>
                <w:color w:val="5F6B77"/>
                <w:sz w:val="18"/>
              </w:rPr>
              <w:t xml:space="preserve">Outcome  </w:t>
            </w:r>
            <w:r>
              <w:rPr>
                <w:rFonts w:ascii="Calibri" w:hAnsi="Calibri" w:eastAsia="Calibri" w:cs="Calibri"/>
                <w:b w:val="0"/>
                <w:i w:val="0"/>
                <w:sz w:val="18"/>
              </w:rPr>
              <w:t xml:space="preserve">Referral turnaround cut from 9 days to 2; adopted by all eight providers.</w:t>
            </w:r>
          </w:p>
        </w:tc>
      </w:tr>
      <w:tr>
        <w:trPr>
          <w:cantSplit/>
        </w:trPr>
        <w:tc>
          <w:tcPr>
            <w:tcW w:type="dxa" w:w="2041"/>
            <w:shd w:val="clear" w:color="auto" w:fill="F2F3F3"/>
            <w:vAlign w:val="top"/>
            <w:tcBorders>
              <w:top w:val="single" w:sz="12" w:space="0" w:color="FFFFFF"/>
              <w:left w:val="single" w:sz="30" w:space="0" w:color="5F6B77"/>
              <w:bottom w:val="single" w:sz="12" w:space="0" w:color="FFFFFF"/>
            </w:tcBorders>
            <w:tcMar>
              <w:top w:w="120" w:type="dxa"/>
              <w:left w:w="180" w:type="dxa"/>
              <w:bottom w:w="120" w:type="dxa"/>
              <w:right w:w="140" w:type="dxa"/>
            </w:tcMar>
          </w:tcPr>
          <w:p>
            <w:pPr>
              <w:spacing w:before="0" w:after="60"/>
            </w:pPr>
            <w:r>
              <w:rPr>
                <w:rFonts w:ascii="Cambria" w:hAnsi="Cambria" w:eastAsia="Cambria" w:cs="Cambria"/>
                <w:b w:val="0"/>
                <w:i w:val="0"/>
                <w:color w:val="5F6B77"/>
                <w:sz w:val="30"/>
              </w:rPr>
              <w:t xml:space="preserve">03</w:t>
            </w:r>
          </w:p>
          <w:p>
            <w:pPr>
              <w:spacing w:before="0" w:after="0"/>
            </w:pPr>
            <w:r>
              <w:rPr>
                <w:rFonts w:ascii="Calibri" w:hAnsi="Calibri" w:eastAsia="Calibri" w:cs="Calibri"/>
                <w:b/>
                <w:i w:val="0"/>
                <w:caps/>
                <w:color w:val="5F6B77"/>
                <w:sz w:val="14"/>
                <w:spacing w:val="10"/>
              </w:rPr>
              <w:t>Client sector</w:t>
            </w:r>
          </w:p>
          <w:p>
            <w:pPr>
              <w:spacing w:before="0" w:after="0"/>
            </w:pPr>
            <w:r>
              <w:rPr>
                <w:rFonts w:ascii="Calibri" w:hAnsi="Calibri" w:eastAsia="Calibri" w:cs="Calibri"/>
                <w:b/>
                <w:i w:val="0"/>
                <w:color w:val="2E3338"/>
                <w:sz w:val="18"/>
              </w:rPr>
              <w:t xml:space="preserve">Unitary council</w:t>
            </w:r>
          </w:p>
        </w:tc>
        <w:tc>
          <w:tcPr>
            <w:tcW w:type="dxa" w:w="7825"/>
            <w:vAlign w:val="top"/>
            <w:tcBorders>
              <w:top w:val="single" w:sz="12" w:space="0" w:color="FFFFFF"/>
              <w:bottom w:val="single" w:sz="4" w:space="0" w:color="DFE0E1"/>
            </w:tcBorders>
            <w:tcMar>
              <w:top w:w="120" w:type="dxa"/>
              <w:left w:w="240" w:type="dxa"/>
              <w:bottom w:w="140" w:type="dxa"/>
              <w:right w:w="0" w:type="dxa"/>
            </w:tcMar>
          </w:tcPr>
          <w:p>
            <w:pPr>
              <w:keepNext/>
              <w:spacing w:before="0" w:after="60"/>
            </w:pPr>
            <w:r>
              <w:rPr>
                <w:rFonts w:ascii="Calibri" w:hAnsi="Calibri" w:eastAsia="Calibri" w:cs="Calibri"/>
                <w:b/>
                <w:i w:val="0"/>
                <w:color w:val="2E3338"/>
                <w:sz w:val="21"/>
              </w:rPr>
              <w:t xml:space="preserve">Revenues and benefits operating model</w:t>
            </w:r>
          </w:p>
          <w:p>
            <w:pPr>
              <w:spacing w:before="40" w:after="0"/>
              <w:jc w:val="both"/>
            </w:pPr>
            <w:r>
              <w:rPr>
                <w:rFonts w:ascii="Calibri" w:hAnsi="Calibri" w:eastAsia="Calibri" w:cs="Calibri"/>
                <w:b/>
                <w:i w:val="0"/>
                <w:color w:val="5F6B77"/>
                <w:sz w:val="18"/>
              </w:rPr>
              <w:t xml:space="preserve">Challenge  </w:t>
            </w:r>
            <w:r>
              <w:rPr>
                <w:rFonts w:ascii="Calibri" w:hAnsi="Calibri" w:eastAsia="Calibri" w:cs="Calibri"/>
                <w:b w:val="0"/>
                <w:i w:val="0"/>
                <w:sz w:val="18"/>
              </w:rPr>
              <w:t xml:space="preserve">Backlogs of 11,000 cases after a system change.</w:t>
            </w:r>
          </w:p>
          <w:p>
            <w:pPr>
              <w:spacing w:before="40" w:after="0"/>
              <w:jc w:val="both"/>
            </w:pPr>
            <w:r>
              <w:rPr>
                <w:rFonts w:ascii="Calibri" w:hAnsi="Calibri" w:eastAsia="Calibri" w:cs="Calibri"/>
                <w:b/>
                <w:i w:val="0"/>
                <w:color w:val="5F6B77"/>
                <w:sz w:val="18"/>
              </w:rPr>
              <w:t xml:space="preserve">Approach  </w:t>
            </w:r>
            <w:r>
              <w:rPr>
                <w:rFonts w:ascii="Calibri" w:hAnsi="Calibri" w:eastAsia="Calibri" w:cs="Calibri"/>
                <w:b w:val="0"/>
                <w:i w:val="0"/>
                <w:sz w:val="18"/>
              </w:rPr>
              <w:t xml:space="preserve">Redesigned the triage process and introduced daily flow management.</w:t>
            </w:r>
          </w:p>
          <w:p>
            <w:pPr>
              <w:spacing w:before="40" w:after="0"/>
              <w:jc w:val="both"/>
            </w:pPr>
            <w:r>
              <w:rPr>
                <w:rFonts w:ascii="Calibri" w:hAnsi="Calibri" w:eastAsia="Calibri" w:cs="Calibri"/>
                <w:b/>
                <w:i w:val="0"/>
                <w:color w:val="5F6B77"/>
                <w:sz w:val="18"/>
              </w:rPr>
              <w:t xml:space="preserve">Outcome  </w:t>
            </w:r>
            <w:r>
              <w:rPr>
                <w:rFonts w:ascii="Calibri" w:hAnsi="Calibri" w:eastAsia="Calibri" w:cs="Calibri"/>
                <w:b w:val="0"/>
                <w:i w:val="0"/>
                <w:sz w:val="18"/>
              </w:rPr>
              <w:t xml:space="preserve">Backlog cleared in five months.</w:t>
            </w:r>
          </w:p>
        </w:tc>
      </w:tr>
    </w:tbl>
    <w:p>
      <w:pPr>
        <w:keepNext/>
        <w:spacing w:before="240" w:after="100"/>
        <w:pBdr>
          <w:bottom w:val="single" w:sz="6" w:space="4" w:color="DFE0E1"/>
        </w:pBdr>
      </w:pPr>
      <w:r>
        <w:rPr>
          <w:rFonts w:ascii="Cambria" w:hAnsi="Cambria" w:eastAsia="Cambria" w:cs="Cambria"/>
          <w:b w:val="0"/>
          <w:i w:val="0"/>
          <w:color w:val="2E3338"/>
          <w:sz w:val="25"/>
        </w:rPr>
        <w:t>Career history</w:t>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1814"/>
        <w:gridCol w:w="8052"/>
      </w:tblGrid>
      <w:tr>
        <w:trPr>
          <w:cantSplit/>
        </w:trPr>
        <w:tc>
          <w:tcPr>
            <w:tcW w:type="dxa" w:w="1814"/>
            <w:tcBorders>
              <w:bottom w:val="single" w:sz="4" w:space="0" w:color="DFE0E1"/>
            </w:tcBorders>
            <w:vAlign w:val="top"/>
            <w:tcMar>
              <w:top w:w="70" w:type="dxa"/>
              <w:left w:w="0" w:type="dxa"/>
              <w:bottom w:w="70" w:type="dxa"/>
              <w:right w:w="0" w:type="dxa"/>
            </w:tcMar>
          </w:tcPr>
          <w:p>
            <w:r>
              <w:rPr>
                <w:rFonts w:ascii="Calibri" w:hAnsi="Calibri" w:eastAsia="Calibri" w:cs="Calibri"/>
                <w:b/>
                <w:i w:val="0"/>
                <w:color w:val="5F6B77"/>
                <w:sz w:val="17"/>
              </w:rPr>
              <w:t xml:space="preserve">2019 – Present</w:t>
            </w:r>
          </w:p>
        </w:tc>
        <w:tc>
          <w:tcPr>
            <w:tcW w:type="dxa" w:w="8052"/>
            <w:tcBorders>
              <w:bottom w:val="single" w:sz="4" w:space="0" w:color="DFE0E1"/>
            </w:tcBorders>
            <w:vAlign w:val="top"/>
            <w:tcMar>
              <w:top w:w="70" w:type="dxa"/>
              <w:left w:w="80" w:type="dxa"/>
              <w:bottom w:w="70" w:type="dxa"/>
              <w:right w:w="80" w:type="dxa"/>
            </w:tcMar>
          </w:tcPr>
          <w:p>
            <w:r>
              <w:rPr>
                <w:rFonts w:ascii="Calibri" w:hAnsi="Calibri" w:eastAsia="Calibri" w:cs="Calibri"/>
                <w:b/>
                <w:i w:val="0"/>
                <w:color w:val="2E3338"/>
                <w:sz w:val="19"/>
              </w:rPr>
              <w:t xml:space="preserve">Principal Consultant</w:t>
            </w:r>
            <w:r>
              <w:rPr>
                <w:rFonts w:ascii="Calibri" w:hAnsi="Calibri" w:eastAsia="Calibri" w:cs="Calibri"/>
                <w:b w:val="0"/>
                <w:i w:val="0"/>
                <w:sz w:val="19"/>
              </w:rPr>
              <w:t xml:space="preserve">   ·   Halcyon Digital Advisory</w:t>
            </w:r>
          </w:p>
          <w:p>
            <w:pPr>
              <w:spacing w:before="20" w:after="0"/>
            </w:pPr>
            <w:r>
              <w:rPr>
                <w:rFonts w:ascii="Calibri" w:hAnsi="Calibri" w:eastAsia="Calibri" w:cs="Calibri"/>
                <w:b w:val="0"/>
                <w:i w:val="0"/>
                <w:color w:val="6B6D70"/>
                <w:sz w:val="17"/>
              </w:rPr>
              <w:t xml:space="preserve">Delivery lead on public-sector transformation programmes</w:t>
            </w:r>
          </w:p>
        </w:tc>
      </w:tr>
      <w:tr>
        <w:trPr>
          <w:cantSplit/>
        </w:trPr>
        <w:tc>
          <w:tcPr>
            <w:tcW w:type="dxa" w:w="1814"/>
            <w:tcBorders>
              <w:bottom w:val="single" w:sz="4" w:space="0" w:color="DFE0E1"/>
            </w:tcBorders>
            <w:vAlign w:val="top"/>
            <w:tcMar>
              <w:top w:w="70" w:type="dxa"/>
              <w:left w:w="0" w:type="dxa"/>
              <w:bottom w:w="70" w:type="dxa"/>
              <w:right w:w="0" w:type="dxa"/>
            </w:tcMar>
          </w:tcPr>
          <w:p>
            <w:r>
              <w:rPr>
                <w:rFonts w:ascii="Calibri" w:hAnsi="Calibri" w:eastAsia="Calibri" w:cs="Calibri"/>
                <w:b/>
                <w:i w:val="0"/>
                <w:color w:val="5F6B77"/>
                <w:sz w:val="17"/>
              </w:rPr>
              <w:t xml:space="preserve">2014 – 2019</w:t>
            </w:r>
          </w:p>
        </w:tc>
        <w:tc>
          <w:tcPr>
            <w:tcW w:type="dxa" w:w="8052"/>
            <w:tcBorders>
              <w:bottom w:val="single" w:sz="4" w:space="0" w:color="DFE0E1"/>
            </w:tcBorders>
            <w:vAlign w:val="top"/>
            <w:tcMar>
              <w:top w:w="70" w:type="dxa"/>
              <w:left w:w="80" w:type="dxa"/>
              <w:bottom w:w="70" w:type="dxa"/>
              <w:right w:w="80" w:type="dxa"/>
            </w:tcMar>
          </w:tcPr>
          <w:p>
            <w:r>
              <w:rPr>
                <w:rFonts w:ascii="Calibri" w:hAnsi="Calibri" w:eastAsia="Calibri" w:cs="Calibri"/>
                <w:b/>
                <w:i w:val="0"/>
                <w:color w:val="2E3338"/>
                <w:sz w:val="19"/>
              </w:rPr>
              <w:t xml:space="preserve">Senior Delivery Manager</w:t>
            </w:r>
            <w:r>
              <w:rPr>
                <w:rFonts w:ascii="Calibri" w:hAnsi="Calibri" w:eastAsia="Calibri" w:cs="Calibri"/>
                <w:b w:val="0"/>
                <w:i w:val="0"/>
                <w:sz w:val="19"/>
              </w:rPr>
              <w:t xml:space="preserve">   ·   Marlow &amp; Reeve Consulting</w:t>
            </w:r>
          </w:p>
          <w:p>
            <w:pPr>
              <w:spacing w:before="20" w:after="0"/>
            </w:pPr>
            <w:r>
              <w:rPr>
                <w:rFonts w:ascii="Calibri" w:hAnsi="Calibri" w:eastAsia="Calibri" w:cs="Calibri"/>
                <w:b w:val="0"/>
                <w:i w:val="0"/>
                <w:color w:val="6B6D70"/>
                <w:sz w:val="17"/>
              </w:rPr>
              <w:t xml:space="preserve">Agile delivery for government digital services</w:t>
            </w:r>
          </w:p>
        </w:tc>
      </w:tr>
      <w:tr>
        <w:trPr>
          <w:cantSplit/>
        </w:trPr>
        <w:tc>
          <w:tcPr>
            <w:tcW w:type="dxa" w:w="1814"/>
            <w:tcBorders>
              <w:bottom w:val="single" w:sz="4" w:space="0" w:color="DFE0E1"/>
            </w:tcBorders>
            <w:vAlign w:val="top"/>
            <w:tcMar>
              <w:top w:w="70" w:type="dxa"/>
              <w:left w:w="0" w:type="dxa"/>
              <w:bottom w:w="70" w:type="dxa"/>
              <w:right w:w="0" w:type="dxa"/>
            </w:tcMar>
          </w:tcPr>
          <w:p>
            <w:r>
              <w:rPr>
                <w:rFonts w:ascii="Calibri" w:hAnsi="Calibri" w:eastAsia="Calibri" w:cs="Calibri"/>
                <w:b/>
                <w:i w:val="0"/>
                <w:color w:val="5F6B77"/>
                <w:sz w:val="17"/>
              </w:rPr>
              <w:t xml:space="preserve">2009 – 2014</w:t>
            </w:r>
          </w:p>
        </w:tc>
        <w:tc>
          <w:tcPr>
            <w:tcW w:type="dxa" w:w="8052"/>
            <w:tcBorders>
              <w:bottom w:val="single" w:sz="4" w:space="0" w:color="DFE0E1"/>
            </w:tcBorders>
            <w:vAlign w:val="top"/>
            <w:tcMar>
              <w:top w:w="70" w:type="dxa"/>
              <w:left w:w="80" w:type="dxa"/>
              <w:bottom w:w="70" w:type="dxa"/>
              <w:right w:w="80" w:type="dxa"/>
            </w:tcMar>
          </w:tcPr>
          <w:p>
            <w:r>
              <w:rPr>
                <w:rFonts w:ascii="Calibri" w:hAnsi="Calibri" w:eastAsia="Calibri" w:cs="Calibri"/>
                <w:b/>
                <w:i w:val="0"/>
                <w:color w:val="2E3338"/>
                <w:sz w:val="19"/>
              </w:rPr>
              <w:t xml:space="preserve">Business Analyst to Project Manager</w:t>
            </w:r>
            <w:r>
              <w:rPr>
                <w:rFonts w:ascii="Calibri" w:hAnsi="Calibri" w:eastAsia="Calibri" w:cs="Calibri"/>
                <w:b w:val="0"/>
                <w:i w:val="0"/>
                <w:sz w:val="19"/>
              </w:rPr>
              <w:t xml:space="preserve">   ·   Westbridge Council</w:t>
            </w:r>
          </w:p>
          <w:p>
            <w:pPr>
              <w:spacing w:before="20" w:after="0"/>
            </w:pPr>
            <w:r>
              <w:rPr>
                <w:rFonts w:ascii="Calibri" w:hAnsi="Calibri" w:eastAsia="Calibri" w:cs="Calibri"/>
                <w:b w:val="0"/>
                <w:i w:val="0"/>
                <w:color w:val="6B6D70"/>
                <w:sz w:val="17"/>
              </w:rPr>
              <w:t xml:space="preserve">Revenues, benefits and customer services</w:t>
            </w:r>
          </w:p>
        </w:tc>
      </w:tr>
    </w:tbl>
    <w:p>
      <w:pPr>
        <w:keepNext/>
        <w:spacing w:before="240" w:after="100"/>
        <w:pBdr>
          <w:bottom w:val="single" w:sz="6" w:space="4" w:color="DFE0E1"/>
        </w:pBdr>
      </w:pPr>
      <w:r>
        <w:rPr>
          <w:rFonts w:ascii="Cambria" w:hAnsi="Cambria" w:eastAsia="Cambria" w:cs="Cambria"/>
          <w:b w:val="0"/>
          <w:i w:val="0"/>
          <w:color w:val="2E3338"/>
          <w:sz w:val="25"/>
        </w:rPr>
        <w:t>Qualifications and memberships</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BSc (Hons) Economics, University of Leeds</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MSP Practitioner</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Agile PM Practitioner</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Member, Association for Project Management (MAPM)</w:t>
      </w:r>
    </w:p>
    <w:p>
      <w:pPr>
        <w:spacing w:before="0" w:after="0" w:line="2" w:lineRule="exact"/>
      </w:pPr>
      <w:r>
        <w:rPr>
          <w:rFonts w:ascii="Calibri" w:hAnsi="Calibri" w:eastAsia="Calibri" w:cs="Calibri"/>
          <w:b w:val="0"/>
          <w:i w:val="0"/>
          <w:sz w:val="2"/>
        </w:rPr>
      </w:r>
    </w:p>
    <w:p>
      <w:pPr>
        <w:pageBreakBefore/>
        <w:spacing w:before="0" w:after="0" w:line="20" w:lineRule="exact"/>
      </w:pPr>
      <w:r>
        <w:rPr>
          <w:rFonts w:ascii="Calibri" w:hAnsi="Calibri" w:eastAsia="Calibri" w:cs="Calibri"/>
          <w:b w:val="0"/>
          <w:i w:val="0"/>
          <w:sz w:val="2"/>
        </w:rPr>
      </w:r>
    </w:p>
    <w:tbl>
      <w:tblPr>
        <w:tblLook w:firstColumn="1" w:firstRow="1" w:lastColumn="0" w:lastRow="0" w:noHBand="0" w:noVBand="1" w:val="04A0"/>
        <w:tblW w:w="9866" w:type="dxa"/>
        <w:jc w:val="left"/>
        <w:tblInd w:w="320" w:type="dxa"/>
        <w:tblLayout w:type="fixed"/>
        <w:tblBorders>
          <w:top w:val="nil"/>
          <w:left w:val="nil"/>
          <w:bottom w:val="nil"/>
          <w:right w:val="nil"/>
          <w:insideH w:val="nil"/>
          <w:insideV w:val="nil"/>
        </w:tblBorders>
        <w:tblCellMar>
          <w:top w:w="0" w:type="dxa"/>
          <w:left w:w="0" w:type="dxa"/>
          <w:bottom w:w="0" w:type="dxa"/>
          <w:right w:w="0" w:type="dxa"/>
        </w:tblCellMar>
      </w:tblPr>
      <w:tblGrid>
        <w:gridCol w:w="9866"/>
      </w:tblGrid>
      <w:tr>
        <w:tc>
          <w:tcPr>
            <w:tcW w:type="dxa" w:w="9866"/>
            <w:shd w:val="clear" w:color="auto" w:fill="2E3338"/>
            <w:tcMar>
              <w:top w:w="240" w:type="dxa"/>
              <w:left w:w="320" w:type="dxa"/>
              <w:bottom w:w="240" w:type="dxa"/>
              <w:right w:w="320" w:type="dxa"/>
            </w:tcMar>
          </w:tcPr>
          <w:p>
            <w:pPr>
              <w:spacing w:before="0" w:after="80"/>
            </w:pPr>
            <w:r>
              <w:rPr>
                <w:rFonts w:ascii="Calibri" w:hAnsi="Calibri" w:eastAsia="Calibri" w:cs="Calibri"/>
                <w:b/>
                <w:i w:val="0"/>
                <w:caps/>
                <w:color w:val="979FA7"/>
                <w:sz w:val="15"/>
                <w:spacing w:val="30"/>
              </w:rPr>
              <w:t>Consultant CV</w:t>
            </w:r>
            <w:r>
              <w:rPr>
                <w:rFonts w:ascii="Calibri" w:hAnsi="Calibri" w:eastAsia="Calibri" w:cs="Calibri"/>
                <w:b w:val="0"/>
                <w:i w:val="0"/>
                <w:color w:val="C4C6C7"/>
                <w:sz w:val="16"/>
              </w:rPr>
              <w:t xml:space="preserve">   ·   Digital Transformation Partner, Lot 2 (call-off)</w:t>
            </w:r>
          </w:p>
          <w:p>
            <w:pPr>
              <w:spacing w:before="0" w:after="40"/>
            </w:pPr>
            <w:r>
              <w:rPr>
                <w:rFonts w:ascii="Cambria" w:hAnsi="Cambria" w:eastAsia="Cambria" w:cs="Cambria"/>
                <w:b w:val="0"/>
                <w:i w:val="0"/>
                <w:color w:val="FFFFFF"/>
                <w:sz w:val="48"/>
              </w:rPr>
              <w:t xml:space="preserve">Marcus Oyelaran</w:t>
            </w:r>
          </w:p>
          <w:p>
            <w:pPr>
              <w:spacing w:before="0" w:after="0"/>
            </w:pPr>
            <w:r>
              <w:rPr>
                <w:rFonts w:ascii="Calibri" w:hAnsi="Calibri" w:eastAsia="Calibri" w:cs="Calibri"/>
                <w:b/>
                <w:i w:val="0"/>
                <w:color w:val="979FA7"/>
                <w:sz w:val="18"/>
              </w:rPr>
              <w:t xml:space="preserve">Proposed role  </w:t>
            </w:r>
            <w:r>
              <w:rPr>
                <w:rFonts w:ascii="Calibri" w:hAnsi="Calibri" w:eastAsia="Calibri" w:cs="Calibri"/>
                <w:b/>
                <w:i w:val="0"/>
                <w:color w:val="FFFFFF"/>
                <w:sz w:val="22"/>
              </w:rPr>
              <w:t xml:space="preserve">Technical Architect</w:t>
            </w:r>
          </w:p>
          <w:p>
            <w:pPr>
              <w:spacing w:before="40" w:after="0"/>
            </w:pPr>
            <w:r>
              <w:rPr>
                <w:rFonts w:ascii="Calibri" w:hAnsi="Calibri" w:eastAsia="Calibri" w:cs="Calibri"/>
                <w:b w:val="0"/>
                <w:i w:val="0"/>
                <w:color w:val="C4C6C7"/>
                <w:sz w:val="19"/>
              </w:rPr>
              <w:t xml:space="preserve">Lead Architect  ·  Halcyon Digital Advisory</w:t>
            </w:r>
          </w:p>
        </w:tc>
      </w:tr>
    </w:tbl>
    <w:tbl>
      <w:tblPr>
        <w:tblLook w:firstColumn="1" w:firstRow="1" w:lastColumn="0" w:lastRow="0" w:noHBand="0" w:noVBand="1" w:val="04A0"/>
        <w:tblW w:w="9866" w:type="dxa"/>
        <w:jc w:val="left"/>
        <w:tblInd w:w="320" w:type="dxa"/>
        <w:tblLayout w:type="fixed"/>
        <w:tblBorders>
          <w:top w:val="nil"/>
          <w:left w:val="nil"/>
          <w:bottom w:val="nil"/>
          <w:right w:val="nil"/>
          <w:insideH w:val="nil"/>
          <w:insideV w:val="nil"/>
        </w:tblBorders>
        <w:tblCellMar>
          <w:top w:w="0" w:type="dxa"/>
          <w:left w:w="0" w:type="dxa"/>
          <w:bottom w:w="0" w:type="dxa"/>
          <w:right w:w="0" w:type="dxa"/>
        </w:tblCellMar>
      </w:tblPr>
      <w:tblGrid>
        <w:gridCol w:w="2608"/>
        <w:gridCol w:w="2494"/>
        <w:gridCol w:w="2041"/>
        <w:gridCol w:w="2723"/>
      </w:tblGrid>
      <w:tr>
        <w:tc>
          <w:tcPr>
            <w:tcW w:type="dxa" w:w="2608"/>
            <w:shd w:val="clear" w:color="auto" w:fill="F1F2F3"/>
            <w:vAlign w:val="top"/>
            <w:tcBorders>
              <w:bottom w:val="single" w:sz="18" w:space="0" w:color="5F6B77"/>
            </w:tcBorders>
            <w:tcMar>
              <w:top w:w="110" w:type="dxa"/>
              <w:left w:w="320" w:type="dxa"/>
              <w:bottom w:w="120" w:type="dxa"/>
              <w:right w:w="100" w:type="dxa"/>
            </w:tcMar>
          </w:tcPr>
          <w:p>
            <w:pPr>
              <w:spacing w:before="0" w:after="40"/>
            </w:pPr>
            <w:r>
              <w:rPr>
                <w:rFonts w:ascii="Calibri" w:hAnsi="Calibri" w:eastAsia="Calibri" w:cs="Calibri"/>
                <w:b/>
                <w:i w:val="0"/>
                <w:caps/>
                <w:color w:val="5F6B77"/>
                <w:sz w:val="13"/>
                <w:spacing w:val="15"/>
              </w:rPr>
              <w:t>Day rate band</w:t>
            </w:r>
          </w:p>
          <w:p>
            <w:pPr>
              <w:spacing w:before="0" w:after="0"/>
            </w:pPr>
            <w:r>
              <w:rPr>
                <w:rFonts w:ascii="Calibri" w:hAnsi="Calibri" w:eastAsia="Calibri" w:cs="Calibri"/>
                <w:b/>
                <w:i w:val="0"/>
                <w:color w:val="2E3338"/>
                <w:sz w:val="19"/>
              </w:rPr>
              <w:t xml:space="preserve">________________</w:t>
            </w:r>
          </w:p>
        </w:tc>
        <w:tc>
          <w:tcPr>
            <w:tcW w:type="dxa" w:w="2494"/>
            <w:shd w:val="clear" w:color="auto" w:fill="F1F2F3"/>
            <w:vAlign w:val="top"/>
            <w:tcBorders>
              <w:bottom w:val="single" w:sz="18" w:space="0" w:color="5F6B77"/>
            </w:tcBorders>
            <w:tcMar>
              <w:top w:w="110" w:type="dxa"/>
              <w:left w:w="100" w:type="dxa"/>
              <w:bottom w:w="120" w:type="dxa"/>
              <w:right w:w="100" w:type="dxa"/>
            </w:tcMar>
          </w:tcPr>
          <w:p>
            <w:pPr>
              <w:spacing w:before="0" w:after="40"/>
            </w:pPr>
            <w:r>
              <w:rPr>
                <w:rFonts w:ascii="Calibri" w:hAnsi="Calibri" w:eastAsia="Calibri" w:cs="Calibri"/>
                <w:b/>
                <w:i w:val="0"/>
                <w:caps/>
                <w:color w:val="5F6B77"/>
                <w:sz w:val="13"/>
                <w:spacing w:val="15"/>
              </w:rPr>
              <w:t>Security clearance</w:t>
            </w:r>
          </w:p>
          <w:p>
            <w:pPr>
              <w:spacing w:before="0" w:after="0"/>
            </w:pPr>
            <w:r>
              <w:rPr>
                <w:rFonts w:ascii="Calibri" w:hAnsi="Calibri" w:eastAsia="Calibri" w:cs="Calibri"/>
                <w:b/>
                <w:i w:val="0"/>
                <w:color w:val="2E3338"/>
                <w:sz w:val="19"/>
              </w:rPr>
              <w:t xml:space="preserve">Not stated</w:t>
            </w:r>
          </w:p>
        </w:tc>
        <w:tc>
          <w:tcPr>
            <w:tcW w:type="dxa" w:w="2041"/>
            <w:shd w:val="clear" w:color="auto" w:fill="F1F2F3"/>
            <w:vAlign w:val="top"/>
            <w:tcBorders>
              <w:bottom w:val="single" w:sz="18" w:space="0" w:color="5F6B77"/>
            </w:tcBorders>
            <w:tcMar>
              <w:top w:w="110" w:type="dxa"/>
              <w:left w:w="100" w:type="dxa"/>
              <w:bottom w:w="120" w:type="dxa"/>
              <w:right w:w="100" w:type="dxa"/>
            </w:tcMar>
          </w:tcPr>
          <w:p>
            <w:pPr>
              <w:spacing w:before="0" w:after="40"/>
            </w:pPr>
            <w:r>
              <w:rPr>
                <w:rFonts w:ascii="Calibri" w:hAnsi="Calibri" w:eastAsia="Calibri" w:cs="Calibri"/>
                <w:b/>
                <w:i w:val="0"/>
                <w:caps/>
                <w:color w:val="5F6B77"/>
                <w:sz w:val="13"/>
                <w:spacing w:val="15"/>
              </w:rPr>
              <w:t>Experience</w:t>
            </w:r>
          </w:p>
          <w:p>
            <w:pPr>
              <w:spacing w:before="0" w:after="0"/>
            </w:pPr>
            <w:r>
              <w:rPr>
                <w:rFonts w:ascii="Calibri" w:hAnsi="Calibri" w:eastAsia="Calibri" w:cs="Calibri"/>
                <w:b/>
                <w:i w:val="0"/>
                <w:color w:val="2E3338"/>
                <w:sz w:val="19"/>
              </w:rPr>
              <w:t xml:space="preserve">14 years</w:t>
            </w:r>
          </w:p>
        </w:tc>
        <w:tc>
          <w:tcPr>
            <w:tcW w:type="dxa" w:w="2723"/>
            <w:shd w:val="clear" w:color="auto" w:fill="F1F2F3"/>
            <w:vAlign w:val="top"/>
            <w:tcBorders>
              <w:bottom w:val="single" w:sz="18" w:space="0" w:color="5F6B77"/>
            </w:tcBorders>
            <w:tcMar>
              <w:top w:w="110" w:type="dxa"/>
              <w:left w:w="100" w:type="dxa"/>
              <w:bottom w:w="120" w:type="dxa"/>
              <w:right w:w="100" w:type="dxa"/>
            </w:tcMar>
          </w:tcPr>
          <w:p>
            <w:pPr>
              <w:spacing w:before="0" w:after="40"/>
            </w:pPr>
            <w:r>
              <w:rPr>
                <w:rFonts w:ascii="Calibri" w:hAnsi="Calibri" w:eastAsia="Calibri" w:cs="Calibri"/>
                <w:b/>
                <w:i w:val="0"/>
                <w:caps/>
                <w:color w:val="5F6B77"/>
                <w:sz w:val="13"/>
                <w:spacing w:val="15"/>
              </w:rPr>
              <w:t>Availability</w:t>
            </w:r>
          </w:p>
          <w:p>
            <w:pPr>
              <w:spacing w:before="0" w:after="0"/>
            </w:pPr>
            <w:r>
              <w:rPr>
                <w:rFonts w:ascii="Calibri" w:hAnsi="Calibri" w:eastAsia="Calibri" w:cs="Calibri"/>
                <w:b/>
                <w:i w:val="0"/>
                <w:color w:val="2E3338"/>
                <w:sz w:val="19"/>
              </w:rPr>
              <w:t xml:space="preserve">Immediate</w:t>
            </w:r>
          </w:p>
        </w:tc>
      </w:tr>
    </w:tbl>
    <w:p>
      <w:pPr>
        <w:keepNext/>
        <w:spacing w:before="240" w:after="100"/>
        <w:pBdr>
          <w:bottom w:val="single" w:sz="6" w:space="4" w:color="DFE0E1"/>
        </w:pBdr>
      </w:pPr>
      <w:r>
        <w:rPr>
          <w:rFonts w:ascii="Cambria" w:hAnsi="Cambria" w:eastAsia="Cambria" w:cs="Cambria"/>
          <w:b w:val="0"/>
          <w:i w:val="0"/>
          <w:color w:val="2E3338"/>
          <w:sz w:val="25"/>
        </w:rPr>
        <w:t>Profile</w:t>
      </w:r>
    </w:p>
    <w:p>
      <w:pPr>
        <w:spacing w:before="0" w:after="0"/>
        <w:jc w:val="both"/>
      </w:pPr>
      <w:r>
        <w:rPr>
          <w:rFonts w:ascii="Calibri" w:hAnsi="Calibri" w:eastAsia="Calibri" w:cs="Calibri"/>
          <w:b w:val="0"/>
          <w:i w:val="0"/>
          <w:sz w:val="19"/>
        </w:rPr>
        <w:t xml:space="preserve">Marcus designs cloud architectures for regulated public services.</w:t>
      </w:r>
    </w:p>
    <w:p>
      <w:pPr>
        <w:keepNext/>
        <w:spacing w:before="240" w:after="100"/>
        <w:pBdr>
          <w:bottom w:val="single" w:sz="6" w:space="4" w:color="DFE0E1"/>
        </w:pBdr>
      </w:pPr>
      <w:r>
        <w:rPr>
          <w:rFonts w:ascii="Cambria" w:hAnsi="Cambria" w:eastAsia="Cambria" w:cs="Cambria"/>
          <w:b w:val="0"/>
          <w:i w:val="0"/>
          <w:color w:val="2E3338"/>
          <w:sz w:val="25"/>
        </w:rPr>
        <w:t>Sector experience and key skills</w:t>
      </w:r>
    </w:p>
    <w:p>
      <w:pPr>
        <w:spacing w:before="40" w:after="20"/>
      </w:pPr>
      <w:r>
        <w:rPr>
          <w:rFonts w:ascii="Calibri" w:hAnsi="Calibri" w:eastAsia="Calibri" w:cs="Calibri"/>
          <w:b/>
          <w:i w:val="0"/>
          <w:caps/>
          <w:color w:val="5F6B77"/>
          <w:sz w:val="14"/>
          <w:spacing w:val="30"/>
        </w:rPr>
        <w:t>Sectors</w:t>
      </w:r>
    </w:p>
    <w:p>
      <w:pPr>
        <w:spacing w:before="0" w:after="40" w:line="420" w:lineRule="auto"/>
      </w:pPr>
      <w:r>
        <w:rPr>
          <w:rFonts w:ascii="Calibri" w:hAnsi="Calibri" w:eastAsia="Calibri" w:cs="Calibri"/>
          <w:b w:val="0"/>
          <w:i w:val="0"/>
          <w:sz w:val="17"/>
        </w:rPr>
        <w:t xml:space="preserve"/>
      </w:r>
      <w:r>
        <w:rPr>
          <w:rFonts w:ascii="Calibri" w:hAnsi="Calibri" w:eastAsia="Calibri" w:cs="Calibri"/>
          <w:b/>
          <w:i w:val="0"/>
          <w:color w:val="2E3338"/>
          <w:sz w:val="17"/>
          <w:shd w:val="clear" w:color="auto" w:fill="F1F2F3"/>
        </w:rPr>
        <w:t xml:space="preserve">  Central government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Policing  </w:t>
      </w:r>
      <w:r>
        <w:rPr>
          <w:rFonts w:ascii="Calibri" w:hAnsi="Calibri" w:eastAsia="Calibri" w:cs="Calibri"/>
          <w:b w:val="0"/>
          <w:i w:val="0"/>
          <w:sz w:val="17"/>
        </w:rPr>
        <w:t xml:space="preserve"/>
      </w:r>
    </w:p>
    <w:p>
      <w:pPr>
        <w:spacing w:before="80" w:after="20"/>
      </w:pPr>
      <w:r>
        <w:rPr>
          <w:rFonts w:ascii="Calibri" w:hAnsi="Calibri" w:eastAsia="Calibri" w:cs="Calibri"/>
          <w:b/>
          <w:i w:val="0"/>
          <w:caps/>
          <w:color w:val="5F6B77"/>
          <w:sz w:val="14"/>
          <w:spacing w:val="30"/>
        </w:rPr>
        <w:t>Key skills</w:t>
      </w:r>
    </w:p>
    <w:p>
      <w:pPr>
        <w:spacing w:before="0" w:after="40" w:line="420" w:lineRule="auto"/>
      </w:pPr>
      <w:r>
        <w:rPr>
          <w:rFonts w:ascii="Calibri" w:hAnsi="Calibri" w:eastAsia="Calibri" w:cs="Calibri"/>
          <w:b w:val="0"/>
          <w:i w:val="0"/>
          <w:sz w:val="17"/>
        </w:rPr>
        <w:t xml:space="preserve"/>
      </w:r>
      <w:r>
        <w:rPr>
          <w:rFonts w:ascii="Calibri" w:hAnsi="Calibri" w:eastAsia="Calibri" w:cs="Calibri"/>
          <w:b/>
          <w:i w:val="0"/>
          <w:color w:val="2E3338"/>
          <w:sz w:val="17"/>
          <w:shd w:val="clear" w:color="auto" w:fill="F1F2F3"/>
        </w:rPr>
        <w:t xml:space="preserve">  Solution architecture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AWS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Azure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Security by design  </w:t>
      </w:r>
      <w:r>
        <w:rPr>
          <w:rFonts w:ascii="Calibri" w:hAnsi="Calibri" w:eastAsia="Calibri" w:cs="Calibri"/>
          <w:b w:val="0"/>
          <w:i w:val="0"/>
          <w:sz w:val="17"/>
        </w:rPr>
        <w:t xml:space="preserve"/>
      </w:r>
    </w:p>
    <w:p>
      <w:pPr>
        <w:keepNext/>
        <w:spacing w:before="240" w:after="100"/>
        <w:pBdr>
          <w:bottom w:val="single" w:sz="6" w:space="4" w:color="DFE0E1"/>
        </w:pBdr>
      </w:pPr>
      <w:r>
        <w:rPr>
          <w:rFonts w:ascii="Cambria" w:hAnsi="Cambria" w:eastAsia="Cambria" w:cs="Cambria"/>
          <w:b w:val="0"/>
          <w:i w:val="0"/>
          <w:color w:val="2E3338"/>
          <w:sz w:val="25"/>
        </w:rPr>
        <w:t>Case studies</w:t>
      </w:r>
    </w:p>
    <w:tbl>
      <w:tblPr>
        <w:tblLook w:firstColumn="1" w:firstRow="1" w:lastColumn="0" w:lastRow="0" w:noHBand="0" w:noVBand="1" w:val="04A0"/>
        <w:tblW w:w="9866" w:type="dxa"/>
        <w:jc w:val="left"/>
        <w:tblInd w:w="180" w:type="dxa"/>
        <w:tblLayout w:type="fixed"/>
        <w:tblBorders>
          <w:top w:val="nil"/>
          <w:left w:val="nil"/>
          <w:bottom w:val="nil"/>
          <w:right w:val="nil"/>
          <w:insideH w:val="nil"/>
          <w:insideV w:val="nil"/>
        </w:tblBorders>
        <w:tblCellMar>
          <w:top w:w="0" w:type="dxa"/>
          <w:left w:w="0" w:type="dxa"/>
          <w:bottom w:w="0" w:type="dxa"/>
          <w:right w:w="0" w:type="dxa"/>
        </w:tblCellMar>
      </w:tblPr>
      <w:tblGrid>
        <w:gridCol w:w="2041"/>
        <w:gridCol w:w="7825"/>
      </w:tblGrid>
      <w:tr>
        <w:trPr>
          <w:cantSplit/>
        </w:trPr>
        <w:tc>
          <w:tcPr>
            <w:tcW w:type="dxa" w:w="2041"/>
            <w:shd w:val="clear" w:color="auto" w:fill="F2F3F3"/>
            <w:vAlign w:val="top"/>
            <w:tcBorders>
              <w:top w:val="single" w:sz="12" w:space="0" w:color="FFFFFF"/>
              <w:left w:val="single" w:sz="30" w:space="0" w:color="5F6B77"/>
              <w:bottom w:val="single" w:sz="12" w:space="0" w:color="FFFFFF"/>
            </w:tcBorders>
            <w:tcMar>
              <w:top w:w="120" w:type="dxa"/>
              <w:left w:w="180" w:type="dxa"/>
              <w:bottom w:w="120" w:type="dxa"/>
              <w:right w:w="140" w:type="dxa"/>
            </w:tcMar>
          </w:tcPr>
          <w:p>
            <w:pPr>
              <w:spacing w:before="0" w:after="60"/>
            </w:pPr>
            <w:r>
              <w:rPr>
                <w:rFonts w:ascii="Cambria" w:hAnsi="Cambria" w:eastAsia="Cambria" w:cs="Cambria"/>
                <w:b w:val="0"/>
                <w:i w:val="0"/>
                <w:color w:val="5F6B77"/>
                <w:sz w:val="30"/>
              </w:rPr>
              <w:t xml:space="preserve">01</w:t>
            </w:r>
          </w:p>
          <w:p>
            <w:pPr>
              <w:spacing w:before="0" w:after="0"/>
            </w:pPr>
            <w:r>
              <w:rPr>
                <w:rFonts w:ascii="Calibri" w:hAnsi="Calibri" w:eastAsia="Calibri" w:cs="Calibri"/>
                <w:b/>
                <w:i w:val="0"/>
                <w:caps/>
                <w:color w:val="5F6B77"/>
                <w:sz w:val="14"/>
                <w:spacing w:val="10"/>
              </w:rPr>
              <w:t>Client sector</w:t>
            </w:r>
          </w:p>
          <w:p>
            <w:pPr>
              <w:spacing w:before="0" w:after="0"/>
            </w:pPr>
            <w:r>
              <w:rPr>
                <w:rFonts w:ascii="Calibri" w:hAnsi="Calibri" w:eastAsia="Calibri" w:cs="Calibri"/>
                <w:b/>
                <w:i w:val="0"/>
                <w:color w:val="2E3338"/>
                <w:sz w:val="18"/>
              </w:rPr>
              <w:t xml:space="preserve">Police force</w:t>
            </w:r>
          </w:p>
        </w:tc>
        <w:tc>
          <w:tcPr>
            <w:tcW w:type="dxa" w:w="7825"/>
            <w:vAlign w:val="top"/>
            <w:tcBorders>
              <w:top w:val="single" w:sz="12" w:space="0" w:color="FFFFFF"/>
              <w:bottom w:val="single" w:sz="4" w:space="0" w:color="DFE0E1"/>
            </w:tcBorders>
            <w:tcMar>
              <w:top w:w="120" w:type="dxa"/>
              <w:left w:w="240" w:type="dxa"/>
              <w:bottom w:w="140" w:type="dxa"/>
              <w:right w:w="0" w:type="dxa"/>
            </w:tcMar>
          </w:tcPr>
          <w:p>
            <w:pPr>
              <w:keepNext/>
              <w:spacing w:before="0" w:after="60"/>
            </w:pPr>
            <w:r>
              <w:rPr>
                <w:rFonts w:ascii="Calibri" w:hAnsi="Calibri" w:eastAsia="Calibri" w:cs="Calibri"/>
                <w:b/>
                <w:i w:val="0"/>
                <w:color w:val="2E3338"/>
                <w:sz w:val="21"/>
              </w:rPr>
              <w:t xml:space="preserve">Records platform architecture</w:t>
            </w:r>
          </w:p>
          <w:p>
            <w:pPr>
              <w:spacing w:before="40" w:after="0"/>
              <w:jc w:val="both"/>
            </w:pPr>
            <w:r>
              <w:rPr>
                <w:rFonts w:ascii="Calibri" w:hAnsi="Calibri" w:eastAsia="Calibri" w:cs="Calibri"/>
                <w:b/>
                <w:i w:val="0"/>
                <w:color w:val="5F6B77"/>
                <w:sz w:val="18"/>
              </w:rPr>
              <w:t xml:space="preserve">Challenge  </w:t>
            </w:r>
            <w:r>
              <w:rPr>
                <w:rFonts w:ascii="Calibri" w:hAnsi="Calibri" w:eastAsia="Calibri" w:cs="Calibri"/>
                <w:b w:val="0"/>
                <w:i w:val="0"/>
                <w:sz w:val="18"/>
              </w:rPr>
              <w:t xml:space="preserve">Three records systems with no shared data model.</w:t>
            </w:r>
          </w:p>
          <w:p>
            <w:pPr>
              <w:spacing w:before="40" w:after="0"/>
              <w:jc w:val="both"/>
            </w:pPr>
            <w:r>
              <w:rPr>
                <w:rFonts w:ascii="Calibri" w:hAnsi="Calibri" w:eastAsia="Calibri" w:cs="Calibri"/>
                <w:b/>
                <w:i w:val="0"/>
                <w:color w:val="5F6B77"/>
                <w:sz w:val="18"/>
              </w:rPr>
              <w:t xml:space="preserve">Approach  </w:t>
            </w:r>
            <w:r>
              <w:rPr>
                <w:rFonts w:ascii="Calibri" w:hAnsi="Calibri" w:eastAsia="Calibri" w:cs="Calibri"/>
                <w:b w:val="0"/>
                <w:i w:val="0"/>
                <w:sz w:val="18"/>
              </w:rPr>
              <w:t xml:space="preserve">Defined a target architecture and an API layer.</w:t>
            </w:r>
          </w:p>
          <w:p>
            <w:pPr>
              <w:spacing w:before="40" w:after="0"/>
              <w:jc w:val="both"/>
            </w:pPr>
            <w:r>
              <w:rPr>
                <w:rFonts w:ascii="Calibri" w:hAnsi="Calibri" w:eastAsia="Calibri" w:cs="Calibri"/>
                <w:b/>
                <w:i w:val="0"/>
                <w:color w:val="5F6B77"/>
                <w:sz w:val="18"/>
              </w:rPr>
              <w:t xml:space="preserve">Outcome  </w:t>
            </w:r>
            <w:r>
              <w:rPr>
                <w:rFonts w:ascii="Calibri" w:hAnsi="Calibri" w:eastAsia="Calibri" w:cs="Calibri"/>
                <w:b w:val="0"/>
                <w:i w:val="0"/>
                <w:sz w:val="18"/>
              </w:rPr>
              <w:t xml:space="preserve">One data model live; two systems retired.</w:t>
            </w:r>
          </w:p>
        </w:tc>
      </w:tr>
    </w:tbl>
    <w:p>
      <w:pPr>
        <w:keepNext/>
        <w:spacing w:before="240" w:after="100"/>
        <w:pBdr>
          <w:bottom w:val="single" w:sz="6" w:space="4" w:color="DFE0E1"/>
        </w:pBdr>
      </w:pPr>
      <w:r>
        <w:rPr>
          <w:rFonts w:ascii="Cambria" w:hAnsi="Cambria" w:eastAsia="Cambria" w:cs="Cambria"/>
          <w:b w:val="0"/>
          <w:i w:val="0"/>
          <w:color w:val="2E3338"/>
          <w:sz w:val="25"/>
        </w:rPr>
        <w:t>Career history</w:t>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1814"/>
        <w:gridCol w:w="8052"/>
      </w:tblGrid>
      <w:tr>
        <w:trPr>
          <w:cantSplit/>
        </w:trPr>
        <w:tc>
          <w:tcPr>
            <w:tcW w:type="dxa" w:w="1814"/>
            <w:tcBorders>
              <w:bottom w:val="single" w:sz="4" w:space="0" w:color="DFE0E1"/>
            </w:tcBorders>
            <w:vAlign w:val="top"/>
            <w:tcMar>
              <w:top w:w="70" w:type="dxa"/>
              <w:left w:w="0" w:type="dxa"/>
              <w:bottom w:w="70" w:type="dxa"/>
              <w:right w:w="0" w:type="dxa"/>
            </w:tcMar>
          </w:tcPr>
          <w:p>
            <w:r>
              <w:rPr>
                <w:rFonts w:ascii="Calibri" w:hAnsi="Calibri" w:eastAsia="Calibri" w:cs="Calibri"/>
                <w:b/>
                <w:i w:val="0"/>
                <w:color w:val="5F6B77"/>
                <w:sz w:val="17"/>
              </w:rPr>
              <w:t xml:space="preserve">2018 – Present</w:t>
            </w:r>
          </w:p>
        </w:tc>
        <w:tc>
          <w:tcPr>
            <w:tcW w:type="dxa" w:w="8052"/>
            <w:tcBorders>
              <w:bottom w:val="single" w:sz="4" w:space="0" w:color="DFE0E1"/>
            </w:tcBorders>
            <w:vAlign w:val="top"/>
            <w:tcMar>
              <w:top w:w="70" w:type="dxa"/>
              <w:left w:w="80" w:type="dxa"/>
              <w:bottom w:w="70" w:type="dxa"/>
              <w:right w:w="80" w:type="dxa"/>
            </w:tcMar>
          </w:tcPr>
          <w:p>
            <w:r>
              <w:rPr>
                <w:rFonts w:ascii="Calibri" w:hAnsi="Calibri" w:eastAsia="Calibri" w:cs="Calibri"/>
                <w:b/>
                <w:i w:val="0"/>
                <w:color w:val="2E3338"/>
                <w:sz w:val="19"/>
              </w:rPr>
              <w:t xml:space="preserve">Lead Architect</w:t>
            </w:r>
            <w:r>
              <w:rPr>
                <w:rFonts w:ascii="Calibri" w:hAnsi="Calibri" w:eastAsia="Calibri" w:cs="Calibri"/>
                <w:b w:val="0"/>
                <w:i w:val="0"/>
                <w:sz w:val="19"/>
              </w:rPr>
              <w:t xml:space="preserve">   ·   Halcyon Digital Advisory</w:t>
            </w:r>
          </w:p>
        </w:tc>
      </w:tr>
    </w:tbl>
    <w:p>
      <w:pPr>
        <w:keepNext/>
        <w:spacing w:before="240" w:after="100"/>
        <w:pBdr>
          <w:bottom w:val="single" w:sz="6" w:space="4" w:color="DFE0E1"/>
        </w:pBdr>
      </w:pPr>
      <w:r>
        <w:rPr>
          <w:rFonts w:ascii="Cambria" w:hAnsi="Cambria" w:eastAsia="Cambria" w:cs="Cambria"/>
          <w:b w:val="0"/>
          <w:i w:val="0"/>
          <w:color w:val="2E3338"/>
          <w:sz w:val="25"/>
        </w:rPr>
        <w:t>Qualifications and memberships</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TOGAF 9 Certified</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AWS Solutions Architect – Professional</w:t>
      </w:r>
    </w:p>
    <w:p>
      <w:pPr>
        <w:spacing w:before="0" w:after="0" w:line="2" w:lineRule="exact"/>
      </w:pPr>
      <w:r>
        <w:rPr>
          <w:rFonts w:ascii="Calibri" w:hAnsi="Calibri" w:eastAsia="Calibri" w:cs="Calibri"/>
          <w:b w:val="0"/>
          <w:i w:val="0"/>
          <w:sz w:val="2"/>
        </w:rPr>
      </w:r>
    </w:p>
    <w:p>
      <w:pPr>
        <w:pageBreakBefore/>
        <w:spacing w:before="0" w:after="0" w:line="20" w:lineRule="exact"/>
      </w:pPr>
      <w:r>
        <w:rPr>
          <w:rFonts w:ascii="Calibri" w:hAnsi="Calibri" w:eastAsia="Calibri" w:cs="Calibri"/>
          <w:b w:val="0"/>
          <w:i w:val="0"/>
          <w:sz w:val="2"/>
        </w:rPr>
      </w:r>
    </w:p>
    <w:tbl>
      <w:tblPr>
        <w:tblLook w:firstColumn="1" w:firstRow="1" w:lastColumn="0" w:lastRow="0" w:noHBand="0" w:noVBand="1" w:val="04A0"/>
        <w:tblW w:w="9866" w:type="dxa"/>
        <w:jc w:val="left"/>
        <w:tblInd w:w="320" w:type="dxa"/>
        <w:tblLayout w:type="fixed"/>
        <w:tblBorders>
          <w:top w:val="nil"/>
          <w:left w:val="nil"/>
          <w:bottom w:val="nil"/>
          <w:right w:val="nil"/>
          <w:insideH w:val="nil"/>
          <w:insideV w:val="nil"/>
        </w:tblBorders>
        <w:tblCellMar>
          <w:top w:w="0" w:type="dxa"/>
          <w:left w:w="0" w:type="dxa"/>
          <w:bottom w:w="0" w:type="dxa"/>
          <w:right w:w="0" w:type="dxa"/>
        </w:tblCellMar>
      </w:tblPr>
      <w:tblGrid>
        <w:gridCol w:w="9866"/>
      </w:tblGrid>
      <w:tr>
        <w:tc>
          <w:tcPr>
            <w:tcW w:type="dxa" w:w="9866"/>
            <w:shd w:val="clear" w:color="auto" w:fill="2E3338"/>
            <w:tcMar>
              <w:top w:w="240" w:type="dxa"/>
              <w:left w:w="320" w:type="dxa"/>
              <w:bottom w:w="240" w:type="dxa"/>
              <w:right w:w="320" w:type="dxa"/>
            </w:tcMar>
          </w:tcPr>
          <w:p>
            <w:pPr>
              <w:spacing w:before="0" w:after="80"/>
            </w:pPr>
            <w:r>
              <w:rPr>
                <w:rFonts w:ascii="Calibri" w:hAnsi="Calibri" w:eastAsia="Calibri" w:cs="Calibri"/>
                <w:b/>
                <w:i w:val="0"/>
                <w:caps/>
                <w:color w:val="979FA7"/>
                <w:sz w:val="15"/>
                <w:spacing w:val="30"/>
              </w:rPr>
              <w:t>Consultant CV</w:t>
            </w:r>
            <w:r>
              <w:rPr>
                <w:rFonts w:ascii="Calibri" w:hAnsi="Calibri" w:eastAsia="Calibri" w:cs="Calibri"/>
                <w:b w:val="0"/>
                <w:i w:val="0"/>
                <w:color w:val="C4C6C7"/>
                <w:sz w:val="16"/>
              </w:rPr>
              <w:t xml:space="preserve">   ·   Digital Transformation Partner, Lot 2 (call-off)</w:t>
            </w:r>
          </w:p>
          <w:p>
            <w:pPr>
              <w:spacing w:before="0" w:after="40"/>
            </w:pPr>
            <w:r>
              <w:rPr>
                <w:rFonts w:ascii="Cambria" w:hAnsi="Cambria" w:eastAsia="Cambria" w:cs="Cambria"/>
                <w:b w:val="0"/>
                <w:i w:val="0"/>
                <w:color w:val="FFFFFF"/>
                <w:sz w:val="48"/>
              </w:rPr>
              <w:t xml:space="preserve">Imogen Ashdown</w:t>
            </w:r>
          </w:p>
          <w:p>
            <w:pPr>
              <w:spacing w:before="0" w:after="0"/>
            </w:pPr>
            <w:r>
              <w:rPr>
                <w:rFonts w:ascii="Calibri" w:hAnsi="Calibri" w:eastAsia="Calibri" w:cs="Calibri"/>
                <w:b/>
                <w:i w:val="0"/>
                <w:color w:val="979FA7"/>
                <w:sz w:val="18"/>
              </w:rPr>
              <w:t xml:space="preserve">Proposed role  </w:t>
            </w:r>
            <w:r>
              <w:rPr>
                <w:rFonts w:ascii="Calibri" w:hAnsi="Calibri" w:eastAsia="Calibri" w:cs="Calibri"/>
                <w:b/>
                <w:i w:val="0"/>
                <w:color w:val="FFFFFF"/>
                <w:sz w:val="22"/>
              </w:rPr>
              <w:t xml:space="preserve">User Researcher</w:t>
            </w:r>
          </w:p>
          <w:p>
            <w:pPr>
              <w:spacing w:before="40" w:after="0"/>
            </w:pPr>
            <w:r>
              <w:rPr>
                <w:rFonts w:ascii="Calibri" w:hAnsi="Calibri" w:eastAsia="Calibri" w:cs="Calibri"/>
                <w:b w:val="0"/>
                <w:i w:val="0"/>
                <w:color w:val="C4C6C7"/>
                <w:sz w:val="19"/>
              </w:rPr>
              <w:t xml:space="preserve">Senior User Researcher  ·  Halcyon Digital Advisory</w:t>
            </w:r>
          </w:p>
        </w:tc>
      </w:tr>
    </w:tbl>
    <w:tbl>
      <w:tblPr>
        <w:tblLook w:firstColumn="1" w:firstRow="1" w:lastColumn="0" w:lastRow="0" w:noHBand="0" w:noVBand="1" w:val="04A0"/>
        <w:tblW w:w="9866" w:type="dxa"/>
        <w:jc w:val="left"/>
        <w:tblInd w:w="320" w:type="dxa"/>
        <w:tblLayout w:type="fixed"/>
        <w:tblBorders>
          <w:top w:val="nil"/>
          <w:left w:val="nil"/>
          <w:bottom w:val="nil"/>
          <w:right w:val="nil"/>
          <w:insideH w:val="nil"/>
          <w:insideV w:val="nil"/>
        </w:tblBorders>
        <w:tblCellMar>
          <w:top w:w="0" w:type="dxa"/>
          <w:left w:w="0" w:type="dxa"/>
          <w:bottom w:w="0" w:type="dxa"/>
          <w:right w:w="0" w:type="dxa"/>
        </w:tblCellMar>
      </w:tblPr>
      <w:tblGrid>
        <w:gridCol w:w="2608"/>
        <w:gridCol w:w="2494"/>
        <w:gridCol w:w="2041"/>
        <w:gridCol w:w="2723"/>
      </w:tblGrid>
      <w:tr>
        <w:tc>
          <w:tcPr>
            <w:tcW w:type="dxa" w:w="2608"/>
            <w:shd w:val="clear" w:color="auto" w:fill="F1F2F3"/>
            <w:vAlign w:val="top"/>
            <w:tcBorders>
              <w:bottom w:val="single" w:sz="18" w:space="0" w:color="5F6B77"/>
            </w:tcBorders>
            <w:tcMar>
              <w:top w:w="110" w:type="dxa"/>
              <w:left w:w="320" w:type="dxa"/>
              <w:bottom w:w="120" w:type="dxa"/>
              <w:right w:w="100" w:type="dxa"/>
            </w:tcMar>
          </w:tcPr>
          <w:p>
            <w:pPr>
              <w:spacing w:before="0" w:after="40"/>
            </w:pPr>
            <w:r>
              <w:rPr>
                <w:rFonts w:ascii="Calibri" w:hAnsi="Calibri" w:eastAsia="Calibri" w:cs="Calibri"/>
                <w:b/>
                <w:i w:val="0"/>
                <w:caps/>
                <w:color w:val="5F6B77"/>
                <w:sz w:val="13"/>
                <w:spacing w:val="15"/>
              </w:rPr>
              <w:t>Day rate band</w:t>
            </w:r>
          </w:p>
          <w:p>
            <w:pPr>
              <w:spacing w:before="0" w:after="0"/>
            </w:pPr>
            <w:r>
              <w:rPr>
                <w:rFonts w:ascii="Calibri" w:hAnsi="Calibri" w:eastAsia="Calibri" w:cs="Calibri"/>
                <w:b/>
                <w:i w:val="0"/>
                <w:color w:val="2E3338"/>
                <w:sz w:val="19"/>
              </w:rPr>
              <w:t xml:space="preserve">________________</w:t>
            </w:r>
          </w:p>
        </w:tc>
        <w:tc>
          <w:tcPr>
            <w:tcW w:type="dxa" w:w="2494"/>
            <w:shd w:val="clear" w:color="auto" w:fill="F1F2F3"/>
            <w:vAlign w:val="top"/>
            <w:tcBorders>
              <w:bottom w:val="single" w:sz="18" w:space="0" w:color="5F6B77"/>
            </w:tcBorders>
            <w:tcMar>
              <w:top w:w="110" w:type="dxa"/>
              <w:left w:w="100" w:type="dxa"/>
              <w:bottom w:w="120" w:type="dxa"/>
              <w:right w:w="100" w:type="dxa"/>
            </w:tcMar>
          </w:tcPr>
          <w:p>
            <w:pPr>
              <w:spacing w:before="0" w:after="40"/>
            </w:pPr>
            <w:r>
              <w:rPr>
                <w:rFonts w:ascii="Calibri" w:hAnsi="Calibri" w:eastAsia="Calibri" w:cs="Calibri"/>
                <w:b/>
                <w:i w:val="0"/>
                <w:caps/>
                <w:color w:val="5F6B77"/>
                <w:sz w:val="13"/>
                <w:spacing w:val="15"/>
              </w:rPr>
              <w:t>Security clearance</w:t>
            </w:r>
          </w:p>
          <w:p>
            <w:pPr>
              <w:spacing w:before="0" w:after="0"/>
            </w:pPr>
            <w:r>
              <w:rPr>
                <w:rFonts w:ascii="Calibri" w:hAnsi="Calibri" w:eastAsia="Calibri" w:cs="Calibri"/>
                <w:b/>
                <w:i w:val="0"/>
                <w:color w:val="2E3338"/>
                <w:sz w:val="19"/>
              </w:rPr>
              <w:t xml:space="preserve">BPSS</w:t>
            </w:r>
          </w:p>
        </w:tc>
        <w:tc>
          <w:tcPr>
            <w:tcW w:type="dxa" w:w="2041"/>
            <w:shd w:val="clear" w:color="auto" w:fill="F1F2F3"/>
            <w:vAlign w:val="top"/>
            <w:tcBorders>
              <w:bottom w:val="single" w:sz="18" w:space="0" w:color="5F6B77"/>
            </w:tcBorders>
            <w:tcMar>
              <w:top w:w="110" w:type="dxa"/>
              <w:left w:w="100" w:type="dxa"/>
              <w:bottom w:w="120" w:type="dxa"/>
              <w:right w:w="100" w:type="dxa"/>
            </w:tcMar>
          </w:tcPr>
          <w:p>
            <w:pPr>
              <w:spacing w:before="0" w:after="40"/>
            </w:pPr>
            <w:r>
              <w:rPr>
                <w:rFonts w:ascii="Calibri" w:hAnsi="Calibri" w:eastAsia="Calibri" w:cs="Calibri"/>
                <w:b/>
                <w:i w:val="0"/>
                <w:caps/>
                <w:color w:val="5F6B77"/>
                <w:sz w:val="13"/>
                <w:spacing w:val="15"/>
              </w:rPr>
              <w:t>Experience</w:t>
            </w:r>
          </w:p>
          <w:p>
            <w:pPr>
              <w:spacing w:before="0" w:after="0"/>
            </w:pPr>
            <w:r>
              <w:rPr>
                <w:rFonts w:ascii="Calibri" w:hAnsi="Calibri" w:eastAsia="Calibri" w:cs="Calibri"/>
                <w:b/>
                <w:i w:val="0"/>
                <w:color w:val="2E3338"/>
                <w:sz w:val="19"/>
              </w:rPr>
              <w:t xml:space="preserve">9 years</w:t>
            </w:r>
          </w:p>
        </w:tc>
        <w:tc>
          <w:tcPr>
            <w:tcW w:type="dxa" w:w="2723"/>
            <w:shd w:val="clear" w:color="auto" w:fill="F1F2F3"/>
            <w:vAlign w:val="top"/>
            <w:tcBorders>
              <w:bottom w:val="single" w:sz="18" w:space="0" w:color="5F6B77"/>
            </w:tcBorders>
            <w:tcMar>
              <w:top w:w="110" w:type="dxa"/>
              <w:left w:w="100" w:type="dxa"/>
              <w:bottom w:w="120" w:type="dxa"/>
              <w:right w:w="100" w:type="dxa"/>
            </w:tcMar>
          </w:tcPr>
          <w:p>
            <w:pPr>
              <w:spacing w:before="0" w:after="40"/>
            </w:pPr>
            <w:r>
              <w:rPr>
                <w:rFonts w:ascii="Calibri" w:hAnsi="Calibri" w:eastAsia="Calibri" w:cs="Calibri"/>
                <w:b/>
                <w:i w:val="0"/>
                <w:caps/>
                <w:color w:val="5F6B77"/>
                <w:sz w:val="13"/>
                <w:spacing w:val="15"/>
              </w:rPr>
              <w:t>Availability</w:t>
            </w:r>
          </w:p>
          <w:p>
            <w:pPr>
              <w:spacing w:before="0" w:after="0"/>
            </w:pPr>
            <w:r>
              <w:rPr>
                <w:rFonts w:ascii="Calibri" w:hAnsi="Calibri" w:eastAsia="Calibri" w:cs="Calibri"/>
                <w:b/>
                <w:i w:val="0"/>
                <w:color w:val="2E3338"/>
                <w:sz w:val="19"/>
              </w:rPr>
              <w:t xml:space="preserve">Immediate</w:t>
            </w:r>
          </w:p>
        </w:tc>
      </w:tr>
    </w:tbl>
    <w:p>
      <w:pPr>
        <w:keepNext/>
        <w:spacing w:before="240" w:after="100"/>
        <w:pBdr>
          <w:bottom w:val="single" w:sz="6" w:space="4" w:color="DFE0E1"/>
        </w:pBdr>
      </w:pPr>
      <w:r>
        <w:rPr>
          <w:rFonts w:ascii="Cambria" w:hAnsi="Cambria" w:eastAsia="Cambria" w:cs="Cambria"/>
          <w:b w:val="0"/>
          <w:i w:val="0"/>
          <w:color w:val="2E3338"/>
          <w:sz w:val="25"/>
        </w:rPr>
        <w:t>Profile</w:t>
      </w:r>
    </w:p>
    <w:p>
      <w:pPr>
        <w:spacing w:before="0" w:after="0"/>
        <w:jc w:val="both"/>
      </w:pPr>
      <w:r>
        <w:rPr>
          <w:rFonts w:ascii="Calibri" w:hAnsi="Calibri" w:eastAsia="Calibri" w:cs="Calibri"/>
          <w:b w:val="0"/>
          <w:i w:val="0"/>
          <w:sz w:val="19"/>
        </w:rPr>
        <w:t xml:space="preserve">Imogen plans and runs user research for public services, including with users with access needs.</w:t>
      </w:r>
    </w:p>
    <w:p>
      <w:pPr>
        <w:keepNext/>
        <w:spacing w:before="240" w:after="100"/>
        <w:pBdr>
          <w:bottom w:val="single" w:sz="6" w:space="4" w:color="DFE0E1"/>
        </w:pBdr>
      </w:pPr>
      <w:r>
        <w:rPr>
          <w:rFonts w:ascii="Cambria" w:hAnsi="Cambria" w:eastAsia="Cambria" w:cs="Cambria"/>
          <w:b w:val="0"/>
          <w:i w:val="0"/>
          <w:color w:val="2E3338"/>
          <w:sz w:val="25"/>
        </w:rPr>
        <w:t>SFIA skills and levels</w:t>
      </w:r>
    </w:p>
    <w:tbl>
      <w:tblPr>
        <w:tblLook w:firstColumn="1" w:firstRow="1" w:lastColumn="0" w:lastRow="0" w:noHBand="0" w:noVBand="1" w:val="04A0"/>
        <w:tblW w:w="6804" w:type="dxa"/>
        <w:jc w:val="left"/>
        <w:tblInd w:w="110" w:type="dxa"/>
        <w:tblLayout w:type="fixed"/>
        <w:tblBorders>
          <w:top w:val="nil"/>
          <w:left w:val="nil"/>
          <w:bottom w:val="nil"/>
          <w:right w:val="nil"/>
          <w:insideH w:val="nil"/>
          <w:insideV w:val="nil"/>
        </w:tblBorders>
        <w:tblCellMar>
          <w:top w:w="0" w:type="dxa"/>
          <w:left w:w="0" w:type="dxa"/>
          <w:bottom w:w="0" w:type="dxa"/>
          <w:right w:w="0" w:type="dxa"/>
        </w:tblCellMar>
      </w:tblPr>
      <w:tblGrid>
        <w:gridCol w:w="4309"/>
        <w:gridCol w:w="1361"/>
        <w:gridCol w:w="1134"/>
      </w:tblGrid>
      <w:tr>
        <w:trPr>
          <w:tblHeader/>
          <w:cantSplit/>
        </w:trPr>
        <w:tc>
          <w:tcPr>
            <w:tcW w:type="dxa" w:w="4309"/>
            <w:shd w:val="clear" w:color="auto" w:fill="2E3338"/>
            <w:vAlign w:val="center"/>
            <w:tcMar>
              <w:top w:w="70" w:type="dxa"/>
              <w:left w:w="110" w:type="dxa"/>
              <w:bottom w:w="70" w:type="dxa"/>
              <w:right w:w="110" w:type="dxa"/>
            </w:tcMar>
          </w:tcPr>
          <w:p>
            <w:pPr>
              <w:keepNext/>
              <w:spacing w:before="0" w:after="0"/>
            </w:pPr>
            <w:r>
              <w:rPr>
                <w:rFonts w:ascii="Calibri" w:hAnsi="Calibri" w:eastAsia="Calibri" w:cs="Calibri"/>
                <w:b/>
                <w:i w:val="0"/>
                <w:caps/>
                <w:color w:val="FFFFFF"/>
                <w:sz w:val="15"/>
                <w:spacing w:val="15"/>
              </w:rPr>
              <w:t>Skill</w:t>
            </w:r>
          </w:p>
        </w:tc>
        <w:tc>
          <w:tcPr>
            <w:tcW w:type="dxa" w:w="1361"/>
            <w:shd w:val="clear" w:color="auto" w:fill="2E3338"/>
            <w:vAlign w:val="center"/>
            <w:tcMar>
              <w:top w:w="70" w:type="dxa"/>
              <w:left w:w="110" w:type="dxa"/>
              <w:bottom w:w="70" w:type="dxa"/>
              <w:right w:w="110" w:type="dxa"/>
            </w:tcMar>
          </w:tcPr>
          <w:p>
            <w:pPr>
              <w:keepNext/>
              <w:spacing w:before="0" w:after="0"/>
            </w:pPr>
            <w:r>
              <w:rPr>
                <w:rFonts w:ascii="Calibri" w:hAnsi="Calibri" w:eastAsia="Calibri" w:cs="Calibri"/>
                <w:b/>
                <w:i w:val="0"/>
                <w:caps/>
                <w:color w:val="FFFFFF"/>
                <w:sz w:val="15"/>
                <w:spacing w:val="15"/>
              </w:rPr>
              <w:t>Code</w:t>
            </w:r>
          </w:p>
        </w:tc>
        <w:tc>
          <w:tcPr>
            <w:tcW w:type="dxa" w:w="1134"/>
            <w:shd w:val="clear" w:color="auto" w:fill="2E3338"/>
            <w:vAlign w:val="center"/>
            <w:tcMar>
              <w:top w:w="70" w:type="dxa"/>
              <w:left w:w="110" w:type="dxa"/>
              <w:bottom w:w="70" w:type="dxa"/>
              <w:right w:w="110" w:type="dxa"/>
            </w:tcMar>
          </w:tcPr>
          <w:p>
            <w:pPr>
              <w:keepNext/>
              <w:spacing w:before="0" w:after="0"/>
            </w:pPr>
            <w:r>
              <w:rPr>
                <w:rFonts w:ascii="Calibri" w:hAnsi="Calibri" w:eastAsia="Calibri" w:cs="Calibri"/>
                <w:b/>
                <w:i w:val="0"/>
                <w:caps/>
                <w:color w:val="FFFFFF"/>
                <w:sz w:val="15"/>
                <w:spacing w:val="15"/>
              </w:rPr>
              <w:t>Level</w:t>
            </w:r>
          </w:p>
        </w:tc>
      </w:tr>
      <w:tr>
        <w:trPr>
          <w:cantSplit/>
        </w:trPr>
        <w:tc>
          <w:tcPr>
            <w:tcW w:type="dxa" w:w="4309"/>
            <w:tcBorders>
              <w:bottom w:val="single" w:sz="4" w:space="0" w:color="DFE0E1"/>
            </w:tcBorders>
            <w:vAlign w:val="top"/>
            <w:tcMar>
              <w:top w:w="55" w:type="dxa"/>
              <w:left w:w="110" w:type="dxa"/>
              <w:bottom w:w="55" w:type="dxa"/>
              <w:right w:w="110" w:type="dxa"/>
            </w:tcMar>
          </w:tcPr>
          <w:p>
            <w:r>
              <w:rPr>
                <w:rFonts w:ascii="Calibri" w:hAnsi="Calibri" w:eastAsia="Calibri" w:cs="Calibri"/>
                <w:b/>
                <w:i w:val="0"/>
                <w:color w:val="2E3338"/>
                <w:sz w:val="18"/>
              </w:rPr>
              <w:t xml:space="preserve">User research</w:t>
            </w:r>
          </w:p>
        </w:tc>
        <w:tc>
          <w:tcPr>
            <w:tcW w:type="dxa" w:w="1361"/>
            <w:tcBorders>
              <w:bottom w:val="single" w:sz="4" w:space="0" w:color="DFE0E1"/>
            </w:tcBorders>
            <w:vAlign w:val="top"/>
            <w:tcMar>
              <w:top w:w="55" w:type="dxa"/>
              <w:left w:w="110" w:type="dxa"/>
              <w:bottom w:w="55" w:type="dxa"/>
              <w:right w:w="110" w:type="dxa"/>
            </w:tcMar>
          </w:tcPr>
          <w:p>
            <w:r>
              <w:rPr>
                <w:rFonts w:ascii="Calibri" w:hAnsi="Calibri" w:eastAsia="Calibri" w:cs="Calibri"/>
                <w:b/>
                <w:i w:val="0"/>
                <w:color w:val="5F6B77"/>
                <w:sz w:val="18"/>
              </w:rPr>
              <w:t xml:space="preserve">URCH</w:t>
            </w:r>
          </w:p>
        </w:tc>
        <w:tc>
          <w:tcPr>
            <w:tcW w:type="dxa" w:w="1134"/>
            <w:tcBorders>
              <w:bottom w:val="single" w:sz="4" w:space="0" w:color="DFE0E1"/>
            </w:tcBorders>
            <w:vAlign w:val="top"/>
            <w:tcMar>
              <w:top w:w="55" w:type="dxa"/>
              <w:left w:w="110" w:type="dxa"/>
              <w:bottom w:w="55" w:type="dxa"/>
              <w:right w:w="110" w:type="dxa"/>
            </w:tcMar>
          </w:tcPr>
          <w:p>
            <w:r>
              <w:rPr>
                <w:rFonts w:ascii="Calibri" w:hAnsi="Calibri" w:eastAsia="Calibri" w:cs="Calibri"/>
                <w:b/>
                <w:i w:val="0"/>
                <w:sz w:val="18"/>
              </w:rPr>
              <w:t xml:space="preserve">5</w:t>
            </w:r>
          </w:p>
        </w:tc>
      </w:tr>
    </w:tbl>
    <w:p>
      <w:pPr>
        <w:keepNext/>
        <w:spacing w:before="240" w:after="100"/>
        <w:pBdr>
          <w:bottom w:val="single" w:sz="6" w:space="4" w:color="DFE0E1"/>
        </w:pBdr>
      </w:pPr>
      <w:r>
        <w:rPr>
          <w:rFonts w:ascii="Cambria" w:hAnsi="Cambria" w:eastAsia="Cambria" w:cs="Cambria"/>
          <w:b w:val="0"/>
          <w:i w:val="0"/>
          <w:color w:val="2E3338"/>
          <w:sz w:val="25"/>
        </w:rPr>
        <w:t>Sector experience and key skills</w:t>
      </w:r>
    </w:p>
    <w:p>
      <w:pPr>
        <w:spacing w:before="40" w:after="20"/>
      </w:pPr>
      <w:r>
        <w:rPr>
          <w:rFonts w:ascii="Calibri" w:hAnsi="Calibri" w:eastAsia="Calibri" w:cs="Calibri"/>
          <w:b/>
          <w:i w:val="0"/>
          <w:caps/>
          <w:color w:val="5F6B77"/>
          <w:sz w:val="14"/>
          <w:spacing w:val="30"/>
        </w:rPr>
        <w:t>Sectors</w:t>
      </w:r>
    </w:p>
    <w:p>
      <w:pPr>
        <w:spacing w:before="0" w:after="40" w:line="420" w:lineRule="auto"/>
      </w:pPr>
      <w:r>
        <w:rPr>
          <w:rFonts w:ascii="Calibri" w:hAnsi="Calibri" w:eastAsia="Calibri" w:cs="Calibri"/>
          <w:b w:val="0"/>
          <w:i w:val="0"/>
          <w:sz w:val="17"/>
        </w:rPr>
        <w:t xml:space="preserve"/>
      </w:r>
      <w:r>
        <w:rPr>
          <w:rFonts w:ascii="Calibri" w:hAnsi="Calibri" w:eastAsia="Calibri" w:cs="Calibri"/>
          <w:b/>
          <w:i w:val="0"/>
          <w:color w:val="2E3338"/>
          <w:sz w:val="17"/>
          <w:shd w:val="clear" w:color="auto" w:fill="F1F2F3"/>
        </w:rPr>
        <w:t xml:space="preserve">  Health &amp; social care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Central government  </w:t>
      </w:r>
      <w:r>
        <w:rPr>
          <w:rFonts w:ascii="Calibri" w:hAnsi="Calibri" w:eastAsia="Calibri" w:cs="Calibri"/>
          <w:b w:val="0"/>
          <w:i w:val="0"/>
          <w:sz w:val="17"/>
        </w:rPr>
        <w:t xml:space="preserve"/>
      </w:r>
    </w:p>
    <w:p>
      <w:pPr>
        <w:spacing w:before="80" w:after="20"/>
      </w:pPr>
      <w:r>
        <w:rPr>
          <w:rFonts w:ascii="Calibri" w:hAnsi="Calibri" w:eastAsia="Calibri" w:cs="Calibri"/>
          <w:b/>
          <w:i w:val="0"/>
          <w:caps/>
          <w:color w:val="5F6B77"/>
          <w:sz w:val="14"/>
          <w:spacing w:val="30"/>
        </w:rPr>
        <w:t>Key skills</w:t>
      </w:r>
    </w:p>
    <w:p>
      <w:pPr>
        <w:spacing w:before="0" w:after="40" w:line="420" w:lineRule="auto"/>
      </w:pPr>
      <w:r>
        <w:rPr>
          <w:rFonts w:ascii="Calibri" w:hAnsi="Calibri" w:eastAsia="Calibri" w:cs="Calibri"/>
          <w:b w:val="0"/>
          <w:i w:val="0"/>
          <w:sz w:val="17"/>
        </w:rPr>
        <w:t xml:space="preserve"/>
      </w:r>
      <w:r>
        <w:rPr>
          <w:rFonts w:ascii="Calibri" w:hAnsi="Calibri" w:eastAsia="Calibri" w:cs="Calibri"/>
          <w:b/>
          <w:i w:val="0"/>
          <w:color w:val="2E3338"/>
          <w:sz w:val="17"/>
          <w:shd w:val="clear" w:color="auto" w:fill="F1F2F3"/>
        </w:rPr>
        <w:t xml:space="preserve">  Contextual inquiry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Accessibility research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Usability testing  </w:t>
      </w:r>
      <w:r>
        <w:rPr>
          <w:rFonts w:ascii="Calibri" w:hAnsi="Calibri" w:eastAsia="Calibri" w:cs="Calibri"/>
          <w:b w:val="0"/>
          <w:i w:val="0"/>
          <w:sz w:val="17"/>
        </w:rPr>
        <w:t xml:space="preserve"/>
      </w:r>
    </w:p>
    <w:p>
      <w:pPr>
        <w:keepNext/>
        <w:spacing w:before="240" w:after="100"/>
        <w:pBdr>
          <w:bottom w:val="single" w:sz="6" w:space="4" w:color="DFE0E1"/>
        </w:pBdr>
      </w:pPr>
      <w:r>
        <w:rPr>
          <w:rFonts w:ascii="Cambria" w:hAnsi="Cambria" w:eastAsia="Cambria" w:cs="Cambria"/>
          <w:b w:val="0"/>
          <w:i w:val="0"/>
          <w:color w:val="2E3338"/>
          <w:sz w:val="25"/>
        </w:rPr>
        <w:t>Case studies</w:t>
      </w:r>
    </w:p>
    <w:tbl>
      <w:tblPr>
        <w:tblLook w:firstColumn="1" w:firstRow="1" w:lastColumn="0" w:lastRow="0" w:noHBand="0" w:noVBand="1" w:val="04A0"/>
        <w:tblW w:w="9866" w:type="dxa"/>
        <w:jc w:val="left"/>
        <w:tblInd w:w="180" w:type="dxa"/>
        <w:tblLayout w:type="fixed"/>
        <w:tblBorders>
          <w:top w:val="nil"/>
          <w:left w:val="nil"/>
          <w:bottom w:val="nil"/>
          <w:right w:val="nil"/>
          <w:insideH w:val="nil"/>
          <w:insideV w:val="nil"/>
        </w:tblBorders>
        <w:tblCellMar>
          <w:top w:w="0" w:type="dxa"/>
          <w:left w:w="0" w:type="dxa"/>
          <w:bottom w:w="0" w:type="dxa"/>
          <w:right w:w="0" w:type="dxa"/>
        </w:tblCellMar>
      </w:tblPr>
      <w:tblGrid>
        <w:gridCol w:w="2041"/>
        <w:gridCol w:w="7825"/>
      </w:tblGrid>
      <w:tr>
        <w:trPr>
          <w:cantSplit/>
        </w:trPr>
        <w:tc>
          <w:tcPr>
            <w:tcW w:type="dxa" w:w="2041"/>
            <w:shd w:val="clear" w:color="auto" w:fill="F2F3F3"/>
            <w:vAlign w:val="top"/>
            <w:tcBorders>
              <w:top w:val="single" w:sz="12" w:space="0" w:color="FFFFFF"/>
              <w:left w:val="single" w:sz="30" w:space="0" w:color="5F6B77"/>
              <w:bottom w:val="single" w:sz="12" w:space="0" w:color="FFFFFF"/>
            </w:tcBorders>
            <w:tcMar>
              <w:top w:w="120" w:type="dxa"/>
              <w:left w:w="180" w:type="dxa"/>
              <w:bottom w:w="120" w:type="dxa"/>
              <w:right w:w="140" w:type="dxa"/>
            </w:tcMar>
          </w:tcPr>
          <w:p>
            <w:pPr>
              <w:spacing w:before="0" w:after="60"/>
            </w:pPr>
            <w:r>
              <w:rPr>
                <w:rFonts w:ascii="Cambria" w:hAnsi="Cambria" w:eastAsia="Cambria" w:cs="Cambria"/>
                <w:b w:val="0"/>
                <w:i w:val="0"/>
                <w:color w:val="5F6B77"/>
                <w:sz w:val="30"/>
              </w:rPr>
              <w:t xml:space="preserve">01</w:t>
            </w:r>
          </w:p>
          <w:p>
            <w:pPr>
              <w:spacing w:before="0" w:after="0"/>
            </w:pPr>
            <w:r>
              <w:rPr>
                <w:rFonts w:ascii="Calibri" w:hAnsi="Calibri" w:eastAsia="Calibri" w:cs="Calibri"/>
                <w:b/>
                <w:i w:val="0"/>
                <w:caps/>
                <w:color w:val="5F6B77"/>
                <w:sz w:val="14"/>
                <w:spacing w:val="10"/>
              </w:rPr>
              <w:t>Client sector</w:t>
            </w:r>
          </w:p>
          <w:p>
            <w:pPr>
              <w:spacing w:before="0" w:after="0"/>
            </w:pPr>
            <w:r>
              <w:rPr>
                <w:rFonts w:ascii="Calibri" w:hAnsi="Calibri" w:eastAsia="Calibri" w:cs="Calibri"/>
                <w:b/>
                <w:i w:val="0"/>
                <w:color w:val="2E3338"/>
                <w:sz w:val="18"/>
              </w:rPr>
              <w:t xml:space="preserve">NHS trust</w:t>
            </w:r>
          </w:p>
        </w:tc>
        <w:tc>
          <w:tcPr>
            <w:tcW w:type="dxa" w:w="7825"/>
            <w:vAlign w:val="top"/>
            <w:tcBorders>
              <w:top w:val="single" w:sz="12" w:space="0" w:color="FFFFFF"/>
              <w:bottom w:val="single" w:sz="4" w:space="0" w:color="DFE0E1"/>
            </w:tcBorders>
            <w:tcMar>
              <w:top w:w="120" w:type="dxa"/>
              <w:left w:w="240" w:type="dxa"/>
              <w:bottom w:w="140" w:type="dxa"/>
              <w:right w:w="0" w:type="dxa"/>
            </w:tcMar>
          </w:tcPr>
          <w:p>
            <w:pPr>
              <w:keepNext/>
              <w:spacing w:before="0" w:after="60"/>
            </w:pPr>
            <w:r>
              <w:rPr>
                <w:rFonts w:ascii="Calibri" w:hAnsi="Calibri" w:eastAsia="Calibri" w:cs="Calibri"/>
                <w:b/>
                <w:i w:val="0"/>
                <w:color w:val="2E3338"/>
                <w:sz w:val="21"/>
              </w:rPr>
              <w:t xml:space="preserve">Accessible appointment booking</w:t>
            </w:r>
          </w:p>
          <w:p>
            <w:pPr>
              <w:spacing w:before="40" w:after="0"/>
              <w:jc w:val="both"/>
            </w:pPr>
            <w:r>
              <w:rPr>
                <w:rFonts w:ascii="Calibri" w:hAnsi="Calibri" w:eastAsia="Calibri" w:cs="Calibri"/>
                <w:b/>
                <w:i w:val="0"/>
                <w:color w:val="5F6B77"/>
                <w:sz w:val="18"/>
              </w:rPr>
              <w:t xml:space="preserve">Challenge  </w:t>
            </w:r>
            <w:r>
              <w:rPr>
                <w:rFonts w:ascii="Calibri" w:hAnsi="Calibri" w:eastAsia="Calibri" w:cs="Calibri"/>
                <w:b w:val="0"/>
                <w:i w:val="0"/>
                <w:sz w:val="18"/>
              </w:rPr>
              <w:t xml:space="preserve">Patients with access needs could not book online.</w:t>
            </w:r>
          </w:p>
          <w:p>
            <w:pPr>
              <w:spacing w:before="40" w:after="0"/>
              <w:jc w:val="both"/>
            </w:pPr>
            <w:r>
              <w:rPr>
                <w:rFonts w:ascii="Calibri" w:hAnsi="Calibri" w:eastAsia="Calibri" w:cs="Calibri"/>
                <w:b/>
                <w:i w:val="0"/>
                <w:color w:val="5F6B77"/>
                <w:sz w:val="18"/>
              </w:rPr>
              <w:t xml:space="preserve">Approach  </w:t>
            </w:r>
            <w:r>
              <w:rPr>
                <w:rFonts w:ascii="Calibri" w:hAnsi="Calibri" w:eastAsia="Calibri" w:cs="Calibri"/>
                <w:b w:val="0"/>
                <w:i w:val="0"/>
                <w:sz w:val="18"/>
              </w:rPr>
              <w:t xml:space="preserve">Ran 42 research sessions including assistive-technology users.</w:t>
            </w:r>
          </w:p>
          <w:p>
            <w:pPr>
              <w:spacing w:before="40" w:after="0"/>
              <w:jc w:val="both"/>
            </w:pPr>
            <w:r>
              <w:rPr>
                <w:rFonts w:ascii="Calibri" w:hAnsi="Calibri" w:eastAsia="Calibri" w:cs="Calibri"/>
                <w:b/>
                <w:i w:val="0"/>
                <w:color w:val="5F6B77"/>
                <w:sz w:val="18"/>
              </w:rPr>
              <w:t xml:space="preserve">Outcome  </w:t>
            </w:r>
            <w:r>
              <w:rPr>
                <w:rFonts w:ascii="Calibri" w:hAnsi="Calibri" w:eastAsia="Calibri" w:cs="Calibri"/>
                <w:b w:val="0"/>
                <w:i w:val="0"/>
                <w:sz w:val="18"/>
              </w:rPr>
              <w:t xml:space="preserve">Online bookings by users with access needs doubled.</w:t>
            </w:r>
          </w:p>
        </w:tc>
      </w:tr>
    </w:tbl>
    <w:p>
      <w:pPr>
        <w:keepNext/>
        <w:spacing w:before="240" w:after="100"/>
        <w:pBdr>
          <w:bottom w:val="single" w:sz="6" w:space="4" w:color="DFE0E1"/>
        </w:pBdr>
      </w:pPr>
      <w:r>
        <w:rPr>
          <w:rFonts w:ascii="Cambria" w:hAnsi="Cambria" w:eastAsia="Cambria" w:cs="Cambria"/>
          <w:b w:val="0"/>
          <w:i w:val="0"/>
          <w:color w:val="2E3338"/>
          <w:sz w:val="25"/>
        </w:rPr>
        <w:t>Career history</w:t>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1814"/>
        <w:gridCol w:w="8052"/>
      </w:tblGrid>
      <w:tr>
        <w:trPr>
          <w:cantSplit/>
        </w:trPr>
        <w:tc>
          <w:tcPr>
            <w:tcW w:type="dxa" w:w="1814"/>
            <w:tcBorders>
              <w:bottom w:val="single" w:sz="4" w:space="0" w:color="DFE0E1"/>
            </w:tcBorders>
            <w:vAlign w:val="top"/>
            <w:tcMar>
              <w:top w:w="70" w:type="dxa"/>
              <w:left w:w="0" w:type="dxa"/>
              <w:bottom w:w="70" w:type="dxa"/>
              <w:right w:w="0" w:type="dxa"/>
            </w:tcMar>
          </w:tcPr>
          <w:p>
            <w:r>
              <w:rPr>
                <w:rFonts w:ascii="Calibri" w:hAnsi="Calibri" w:eastAsia="Calibri" w:cs="Calibri"/>
                <w:b/>
                <w:i w:val="0"/>
                <w:color w:val="5F6B77"/>
                <w:sz w:val="17"/>
              </w:rPr>
              <w:t xml:space="preserve">2020 – Present</w:t>
            </w:r>
          </w:p>
        </w:tc>
        <w:tc>
          <w:tcPr>
            <w:tcW w:type="dxa" w:w="8052"/>
            <w:tcBorders>
              <w:bottom w:val="single" w:sz="4" w:space="0" w:color="DFE0E1"/>
            </w:tcBorders>
            <w:vAlign w:val="top"/>
            <w:tcMar>
              <w:top w:w="70" w:type="dxa"/>
              <w:left w:w="80" w:type="dxa"/>
              <w:bottom w:w="70" w:type="dxa"/>
              <w:right w:w="80" w:type="dxa"/>
            </w:tcMar>
          </w:tcPr>
          <w:p>
            <w:r>
              <w:rPr>
                <w:rFonts w:ascii="Calibri" w:hAnsi="Calibri" w:eastAsia="Calibri" w:cs="Calibri"/>
                <w:b/>
                <w:i w:val="0"/>
                <w:color w:val="2E3338"/>
                <w:sz w:val="19"/>
              </w:rPr>
              <w:t xml:space="preserve">Senior User Researcher</w:t>
            </w:r>
            <w:r>
              <w:rPr>
                <w:rFonts w:ascii="Calibri" w:hAnsi="Calibri" w:eastAsia="Calibri" w:cs="Calibri"/>
                <w:b w:val="0"/>
                <w:i w:val="0"/>
                <w:sz w:val="19"/>
              </w:rPr>
              <w:t xml:space="preserve">   ·   Halcyon Digital Advisory</w:t>
            </w:r>
          </w:p>
        </w:tc>
      </w:tr>
    </w:tbl>
    <w:p>
      <w:pPr>
        <w:keepNext/>
        <w:spacing w:before="240" w:after="100"/>
        <w:pBdr>
          <w:bottom w:val="single" w:sz="6" w:space="4" w:color="DFE0E1"/>
        </w:pBdr>
      </w:pPr>
      <w:r>
        <w:rPr>
          <w:rFonts w:ascii="Cambria" w:hAnsi="Cambria" w:eastAsia="Cambria" w:cs="Cambria"/>
          <w:b w:val="0"/>
          <w:i w:val="0"/>
          <w:color w:val="2E3338"/>
          <w:sz w:val="25"/>
        </w:rPr>
        <w:t>Qualifications and memberships</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MSc Human-Computer Interaction, University of Bath</w:t>
      </w:r>
    </w:p>
    <w:p>
      <w:pPr>
        <w:spacing w:before="0" w:after="0" w:line="2" w:lineRule="exact"/>
      </w:pPr>
      <w:r>
        <w:rPr>
          <w:rFonts w:ascii="Calibri" w:hAnsi="Calibri" w:eastAsia="Calibri" w:cs="Calibri"/>
          <w:b w:val="0"/>
          <w:i w:val="0"/>
          <w:sz w:val="2"/>
        </w:rPr>
      </w:r>
    </w:p>
    <w:sectPr w:rsidR="00FC693F" w:rsidRPr="0006063C" w:rsidSect="00034616">
      <w:headerReference w:type="default" r:id="rId9"/>
      <w:footerReference w:type="default" r:id="rId10"/>
      <w:pgSz w:w="11906" w:h="16838"/>
      <w:pgMar w:top="964" w:right="1020" w:bottom="850" w:left="1020" w:header="397"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6" w:space="6" w:color="DFE0E1"/>
      </w:pBdr>
    </w:pPr>
    <w:r/>
    <w:r>
      <w:rPr>
        <w:rFonts w:ascii="Calibri" w:hAnsi="Calibri" w:eastAsia="Calibri" w:cs="Calibri"/>
        <w:b w:val="0"/>
        <w:i w:val="0"/>
        <w:color w:val="6B6D70"/>
        <w:sz w:val="14"/>
      </w:rPr>
      <w:t>Commercial in confidence. Provided for the evaluation of this proposal only.</w:t>
    </w:r>
  </w:p>
  <w:p>
    <w:pPr>
      <w:tabs>
        <w:tab w:pos="9866" w:val="right"/>
      </w:tabs>
      <w:spacing w:before="40" w:after="0"/>
    </w:pPr>
    <w:r>
      <w:rPr>
        <w:rFonts w:ascii="Calibri" w:hAnsi="Calibri" w:eastAsia="Calibri" w:cs="Calibri"/>
        <w:b w:val="0"/>
        <w:i w:val="0"/>
        <w:color w:val="6B6D70"/>
        <w:sz w:val="14"/>
      </w:rPr>
      <w:t>Template by Formatix.AI — formatix.ai/templates</w:t>
    </w:r>
    <w:r>
      <w:rPr>
        <w:rFonts w:ascii="Calibri" w:hAnsi="Calibri" w:eastAsia="Calibri" w:cs="Calibri"/>
        <w:b w:val="0"/>
        <w:i w:val="0"/>
        <w:sz w:val="14"/>
      </w:rPr>
      <w:tab/>
    </w:r>
    <w:r>
      <w:rPr>
        <w:rFonts w:ascii="Calibri" w:hAnsi="Calibri" w:eastAsia="Calibri" w:cs="Calibri"/>
        <w:b w:val="0"/>
        <w:i w:val="0"/>
        <w:color w:val="6B6D70"/>
        <w:sz w:val="14"/>
      </w:rPr>
      <w:t xml:space="preserve">Page </w:t>
    </w:r>
    <w:r>
      <w:rPr>
        <w:rFonts w:ascii="Calibri" w:hAnsi="Calibri"/>
        <w:color w:val="6B6D70"/>
        <w:sz w:val="14"/>
      </w:rPr>
      <w:fldChar w:fldCharType="begin"/>
      <w:instrText xml:space="preserve"> PAGE </w:instrText>
      <w:fldChar w:fldCharType="separate"/>
      <w:t>1</w:t>
      <w:fldChar w:fldCharType="end"/>
    </w:r>
    <w:r>
      <w:rPr>
        <w:rFonts w:ascii="Calibri" w:hAnsi="Calibri" w:eastAsia="Calibri" w:cs="Calibri"/>
        <w:b w:val="0"/>
        <w:i w:val="0"/>
        <w:color w:val="6B6D70"/>
        <w:sz w:val="14"/>
      </w:rPr>
      <w:t xml:space="preserve"> of </w:t>
    </w:r>
    <w:r>
      <w:rPr>
        <w:rFonts w:ascii="Calibri" w:hAnsi="Calibri"/>
        <w:color w:val="6B6D70"/>
        <w:sz w:val="14"/>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866" w:val="right"/>
      </w:tabs>
      <w:pBdr>
        <w:bottom w:val="single" w:sz="6" w:space="6" w:color="DFE0E1"/>
      </w:pBdr>
    </w:pPr>
    <w:r/>
    <w:r>
      <w:drawing>
        <wp:inline xmlns:a="http://schemas.openxmlformats.org/drawingml/2006/main" xmlns:pic="http://schemas.openxmlformats.org/drawingml/2006/picture">
          <wp:extent cx="792000" cy="198000"/>
          <wp:docPr id="1" name="Picture 1"/>
          <wp:cNvGraphicFramePr>
            <a:graphicFrameLocks noChangeAspect="1"/>
          </wp:cNvGraphicFramePr>
          <a:graphic>
            <a:graphicData uri="http://schemas.openxmlformats.org/drawingml/2006/picture">
              <pic:pic>
                <pic:nvPicPr>
                  <pic:cNvPr id="0" name="your_logo.png"/>
                  <pic:cNvPicPr/>
                </pic:nvPicPr>
                <pic:blipFill>
                  <a:blip r:embed="rId1"/>
                  <a:stretch>
                    <a:fillRect/>
                  </a:stretch>
                </pic:blipFill>
                <pic:spPr>
                  <a:xfrm>
                    <a:off x="0" y="0"/>
                    <a:ext cx="792000" cy="198000"/>
                  </a:xfrm>
                  <a:prstGeom prst="rect"/>
                </pic:spPr>
              </pic:pic>
            </a:graphicData>
          </a:graphic>
        </wp:inline>
      </w:drawing>
    </w:r>
    <w:r>
      <w:rPr>
        <w:rFonts w:ascii="Calibri" w:hAnsi="Calibri" w:eastAsia="Calibri" w:cs="Calibri"/>
        <w:b w:val="0"/>
        <w:i w:val="0"/>
      </w:rPr>
      <w:tab/>
    </w:r>
    <w:r>
      <w:rPr>
        <w:rFonts w:ascii="Calibri" w:hAnsi="Calibri" w:eastAsia="Calibri" w:cs="Calibri"/>
        <w:b/>
        <w:i w:val="0"/>
        <w:caps/>
        <w:color w:val="5F6B77"/>
        <w:sz w:val="15"/>
        <w:spacing w:val="20"/>
      </w:rPr>
      <w:t>Consultant CV  ·  Framework proposal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0" w:line="254" w:lineRule="auto"/>
    </w:pPr>
    <w:rPr>
      <w:rFonts w:ascii="Calibri" w:hAnsi="Calibri" w:eastAsia="Calibri"/>
      <w:color w:val="1F2226"/>
      <w:sz w:val="19"/>
    </w:rPr>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ibri" w:hAnsi="Calibri"/>
      <w:color w:val="1F2226"/>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Consultant Framework CV</dc:title>
  <dc:subject>Recruitment template</dc:subject>
  <dc:creator>Your Firm</dc:creator>
  <cp:keywords/>
  <dc:description>Example filled with a fictional candidate. Overwrite it with your own.</dc:description>
  <cp:lastModifiedBy>Your Firm</cp:lastModifiedBy>
  <cp:revision>1</cp:revision>
  <dcterms:created xsi:type="dcterms:W3CDTF">2013-12-23T23:15:00Z</dcterms:created>
  <dcterms:modified xsi:type="dcterms:W3CDTF">2013-12-23T23:15:00Z</dcterms:modified>
  <cp:category>Template</cp:category>
  <dc:identifier/>
  <dc:language/>
</cp:coreProperties>
</file>