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30"/>
        </w:rPr>
        <w:t>Candidate submission</w:t>
      </w:r>
    </w:p>
    <w:p>
      <w:pPr>
        <w:spacing w:before="0" w:after="200"/>
      </w:pPr>
      <w:r>
        <w:rPr>
          <w:rFonts w:ascii="Cambria" w:hAnsi="Cambria" w:eastAsia="Cambria" w:cs="Cambria"/>
          <w:b w:val="0"/>
          <w:i w:val="0"/>
          <w:color w:val="2E3338"/>
          <w:sz w:val="42"/>
        </w:rPr>
        <w:t xml:space="preserve">Daniel Okafor</w:t>
      </w:r>
      <w:r>
        <w:rPr>
          <w:rFonts w:ascii="Cambria" w:hAnsi="Cambria" w:eastAsia="Cambria" w:cs="Cambria"/>
          <w:b w:val="0"/>
          <w:i w:val="0"/>
          <w:color w:val="5F6B77"/>
          <w:sz w:val="42"/>
        </w:rPr>
        <w:t xml:space="preserve">  for Chief Operating Officer</w:t>
      </w:r>
    </w:p>
    <w:tbl>
      <w:tblPr>
        <w:tblLook w:firstColumn="1" w:firstRow="1" w:lastColumn="0" w:lastRow="0" w:noHBand="0" w:noVBand="1" w:val="04A0"/>
        <w:tblW w:w="929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8051"/>
      </w:tblGrid>
      <w:tr>
        <w:tc>
          <w:tcPr>
            <w:tcW w:type="dxa" w:w="1247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  <w:top w:val="single" w:sz="12" w:space="0" w:color="2E3338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30"/>
              </w:rPr>
              <w:t>To</w:t>
            </w:r>
          </w:p>
        </w:tc>
        <w:tc>
          <w:tcPr>
            <w:tcW w:type="dxa" w:w="8051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  <w:top w:val="single" w:sz="12" w:space="0" w:color="2E3338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Claire Bennett, Chief Executive, Halden Group</w:t>
            </w:r>
          </w:p>
        </w:tc>
      </w:tr>
      <w:tr>
        <w:tc>
          <w:tcPr>
            <w:tcW w:type="dxa" w:w="1247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30"/>
              </w:rPr>
              <w:t>From</w:t>
            </w:r>
          </w:p>
        </w:tc>
        <w:tc>
          <w:tcPr>
            <w:tcW w:type="dxa" w:w="8051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Priya Raman  ·  priya.raman@example.com  ·  +44 7700 900417</w:t>
            </w:r>
          </w:p>
        </w:tc>
      </w:tr>
      <w:tr>
        <w:tc>
          <w:tcPr>
            <w:tcW w:type="dxa" w:w="1247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30"/>
              </w:rPr>
              <w:t>Date</w:t>
            </w:r>
          </w:p>
        </w:tc>
        <w:tc>
          <w:tcPr>
            <w:tcW w:type="dxa" w:w="8051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0"/>
              </w:rPr>
              <w:t xml:space="preserve">24 September 2026</w:t>
            </w:r>
          </w:p>
        </w:tc>
      </w:tr>
      <w:tr>
        <w:tc>
          <w:tcPr>
            <w:tcW w:type="dxa" w:w="1247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30"/>
              </w:rPr>
              <w:t>Re</w:t>
            </w:r>
          </w:p>
        </w:tc>
        <w:tc>
          <w:tcPr>
            <w:tcW w:type="dxa" w:w="8051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Daniel Okafor, Chief Operating Officer, Stratton Rail &amp; Freight</w:t>
            </w:r>
          </w:p>
        </w:tc>
      </w:tr>
    </w:tbl>
    <w:p>
      <w:pPr>
        <w:spacing w:before="240" w:after="40"/>
        <w:jc w:val="both"/>
      </w:pPr>
      <w:r>
        <w:rPr>
          <w:rFonts w:ascii="Calibri" w:hAnsi="Calibri" w:eastAsia="Calibri" w:cs="Calibri"/>
          <w:b w:val="0"/>
          <w:i w:val="0"/>
        </w:rPr>
        <w:t xml:space="preserve">Further to our briefing call, I am pleased to put Daniel forward for the Chief Operating Officer role. He has seen the brief, is genuinely interested and has agreed to this introduction.</w:t>
      </w:r>
    </w:p>
    <w:p>
      <w:pPr>
        <w:keepNext/>
        <w:spacing w:before="220" w:after="120"/>
        <w:pBdr>
          <w:bottom w:val="single" w:sz="6" w:space="3" w:color="2E3338"/>
        </w:pBdr>
      </w:pPr>
      <w:r>
        <w:rPr>
          <w:rFonts w:ascii="Cambria" w:hAnsi="Cambria" w:eastAsia="Cambria" w:cs="Cambria"/>
          <w:b/>
          <w:i w:val="0"/>
          <w:color w:val="2E3338"/>
          <w:sz w:val="23"/>
        </w:rPr>
        <w:t xml:space="preserve">Why Daniel</w:t>
      </w:r>
    </w:p>
    <w:p>
      <w:pPr>
        <w:spacing w:before="0" w:after="120"/>
        <w:jc w:val="both"/>
      </w:pPr>
      <w:r>
        <w:rPr>
          <w:rFonts w:ascii="Calibri" w:hAnsi="Calibri" w:eastAsia="Calibri" w:cs="Calibri"/>
          <w:b w:val="0"/>
          <w:i w:val="0"/>
        </w:rPr>
        <w:t xml:space="preserve">Daniel is a sitting COO who has already done the job you need doing: he modernised a £410m freight network across the UK &amp; EU, lifted margins and kept a unionised workforce on side throughout. He is motivated by a larger, more diversified group and by the chance to sit on a plc executive committee.</w:t>
      </w:r>
    </w:p>
    <w:p>
      <w:pPr>
        <w:tabs>
          <w:tab w:pos="510" w:val="left"/>
        </w:tabs>
        <w:spacing w:before="60" w:after="60"/>
        <w:ind w:left="510" w:hanging="510"/>
      </w:pPr>
      <w:r>
        <w:rPr>
          <w:rFonts w:ascii="Cambria" w:hAnsi="Cambria" w:eastAsia="Cambria" w:cs="Cambria"/>
          <w:b/>
          <w:i w:val="0"/>
          <w:color w:val="5F6B77"/>
          <w:sz w:val="22"/>
        </w:rPr>
        <w:t xml:space="preserve">01</w:t>
        <w:tab/>
      </w:r>
      <w:r>
        <w:rPr>
          <w:rFonts w:ascii="Calibri" w:hAnsi="Calibri" w:eastAsia="Calibri" w:cs="Calibri"/>
          <w:b w:val="0"/>
          <w:i w:val="0"/>
          <w:sz w:val="20"/>
        </w:rPr>
        <w:t xml:space="preserve">Led a £120m network modernisation that lifted EBITDA margin from 7.9% to 11.2% in three years</w:t>
      </w:r>
    </w:p>
    <w:p>
      <w:pPr>
        <w:tabs>
          <w:tab w:pos="510" w:val="left"/>
        </w:tabs>
        <w:spacing w:before="60" w:after="60"/>
        <w:ind w:left="510" w:hanging="510"/>
      </w:pPr>
      <w:r>
        <w:rPr>
          <w:rFonts w:ascii="Cambria" w:hAnsi="Cambria" w:eastAsia="Cambria" w:cs="Cambria"/>
          <w:b/>
          <w:i w:val="0"/>
          <w:color w:val="5F6B77"/>
          <w:sz w:val="22"/>
        </w:rPr>
        <w:t xml:space="preserve">02</w:t>
        <w:tab/>
      </w:r>
      <w:r>
        <w:rPr>
          <w:rFonts w:ascii="Calibri" w:hAnsi="Calibri" w:eastAsia="Calibri" w:cs="Calibri"/>
          <w:b w:val="0"/>
          <w:i w:val="0"/>
          <w:sz w:val="20"/>
        </w:rPr>
        <w:t xml:space="preserve">Won three multi-year contracts worth £210m, so he understands the customer side of operations</w:t>
      </w:r>
    </w:p>
    <w:p>
      <w:pPr>
        <w:tabs>
          <w:tab w:pos="510" w:val="left"/>
        </w:tabs>
        <w:spacing w:before="60" w:after="60"/>
        <w:ind w:left="510" w:hanging="510"/>
      </w:pPr>
      <w:r>
        <w:rPr>
          <w:rFonts w:ascii="Cambria" w:hAnsi="Cambria" w:eastAsia="Cambria" w:cs="Cambria"/>
          <w:b/>
          <w:i w:val="0"/>
          <w:color w:val="5F6B77"/>
          <w:sz w:val="22"/>
        </w:rPr>
        <w:t xml:space="preserve">03</w:t>
        <w:tab/>
      </w:r>
      <w:r>
        <w:rPr>
          <w:rFonts w:ascii="Calibri" w:hAnsi="Calibri" w:eastAsia="Calibri" w:cs="Calibri"/>
          <w:b w:val="0"/>
          <w:i w:val="0"/>
          <w:sz w:val="20"/>
        </w:rPr>
        <w:t xml:space="preserve">Cut lost-time injuries by 46%; safety leadership is a clear strength your board has asked for</w:t>
      </w:r>
    </w:p>
    <w:p>
      <w:pPr>
        <w:keepNext/>
        <w:spacing w:before="220" w:after="120"/>
        <w:pBdr>
          <w:bottom w:val="single" w:sz="6" w:space="3" w:color="2E3338"/>
        </w:pBdr>
      </w:pPr>
      <w:r>
        <w:rPr>
          <w:rFonts w:ascii="Cambria" w:hAnsi="Cambria" w:eastAsia="Cambria" w:cs="Cambria"/>
          <w:b/>
          <w:i w:val="0"/>
          <w:color w:val="2E3338"/>
          <w:sz w:val="23"/>
        </w:rPr>
        <w:t>Key facts</w:t>
      </w:r>
    </w:p>
    <w:tbl>
      <w:tblPr>
        <w:tblLook w:firstColumn="1" w:firstRow="1" w:lastColumn="0" w:lastRow="0" w:noHBand="0" w:noVBand="1" w:val="04A0"/>
        <w:tblW w:w="929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6690"/>
      </w:tblGrid>
      <w:tr>
        <w:tc>
          <w:tcPr>
            <w:tcW w:type="dxa" w:w="2608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9"/>
              </w:rPr>
              <w:t xml:space="preserve">Current role</w:t>
            </w:r>
          </w:p>
        </w:tc>
        <w:tc>
          <w:tcPr>
            <w:tcW w:type="dxa" w:w="6690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Chief Operating Officer, Stratton Rail &amp; Freight (since 2019)</w:t>
            </w:r>
          </w:p>
        </w:tc>
      </w:tr>
      <w:tr>
        <w:tc>
          <w:tcPr>
            <w:tcW w:type="dxa" w:w="2608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9"/>
              </w:rPr>
              <w:t xml:space="preserve">Scale</w:t>
            </w:r>
          </w:p>
        </w:tc>
        <w:tc>
          <w:tcPr>
            <w:tcW w:type="dxa" w:w="6690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£410m revenue · 2,100 people · UK &amp; EU</w:t>
            </w:r>
          </w:p>
        </w:tc>
      </w:tr>
      <w:tr>
        <w:tc>
          <w:tcPr>
            <w:tcW w:type="dxa" w:w="2608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9"/>
              </w:rPr>
              <w:t xml:space="preserve">Experience</w:t>
            </w:r>
          </w:p>
        </w:tc>
        <w:tc>
          <w:tcPr>
            <w:tcW w:type="dxa" w:w="6690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22 years in operations, 7 at executive-committee level</w:t>
            </w:r>
          </w:p>
        </w:tc>
      </w:tr>
      <w:tr>
        <w:tc>
          <w:tcPr>
            <w:tcW w:type="dxa" w:w="2608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9"/>
              </w:rPr>
              <w:t xml:space="preserve">Qualifications</w:t>
            </w:r>
          </w:p>
        </w:tc>
        <w:tc>
          <w:tcPr>
            <w:tcW w:type="dxa" w:w="6690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BEng (Hons) Civil Engineering; Chartered Engineer (CEng)</w:t>
            </w:r>
          </w:p>
        </w:tc>
      </w:tr>
      <w:tr>
        <w:tc>
          <w:tcPr>
            <w:tcW w:type="dxa" w:w="2608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9"/>
              </w:rPr>
              <w:t xml:space="preserve">Location</w:t>
            </w:r>
          </w:p>
        </w:tc>
        <w:tc>
          <w:tcPr>
            <w:tcW w:type="dxa" w:w="6690"/>
            <w:tcMar>
              <w:top w:w="50" w:type="dxa"/>
              <w:left w:w="0" w:type="dxa"/>
              <w:bottom w:w="5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Birmingham, UK · open to three days a week in London</w:t>
            </w:r>
          </w:p>
        </w:tc>
      </w:tr>
    </w:tbl>
    <w:p>
      <w:pPr>
        <w:keepNext/>
        <w:spacing w:before="220" w:after="120"/>
        <w:pBdr>
          <w:bottom w:val="single" w:sz="6" w:space="3" w:color="2E3338"/>
        </w:pBdr>
      </w:pPr>
      <w:r>
        <w:rPr>
          <w:rFonts w:ascii="Cambria" w:hAnsi="Cambria" w:eastAsia="Cambria" w:cs="Cambria"/>
          <w:b/>
          <w:i w:val="0"/>
          <w:color w:val="2E3338"/>
          <w:sz w:val="23"/>
        </w:rPr>
        <w:t>Availability and terms</w:t>
      </w:r>
      <w:r>
        <w:rPr>
          <w:rFonts w:ascii="Calibri" w:hAnsi="Calibri" w:eastAsia="Calibri" w:cs="Calibri"/>
          <w:b w:val="0"/>
          <w:i w:val="0"/>
        </w:rPr>
        <w:t xml:space="preserve">   </w:t>
      </w:r>
      <w:r>
        <w:rPr>
          <w:rFonts w:ascii="Calibri" w:hAnsi="Calibri" w:eastAsia="Calibri" w:cs="Calibri"/>
          <w:b/>
          <w:i w:val="0"/>
          <w:color w:val="FFFFFF"/>
          <w:sz w:val="14"/>
          <w:spacing w:val="20"/>
          <w:shd w:val="clear" w:color="auto" w:fill="5F6B77"/>
        </w:rPr>
        <w:t xml:space="preserve"> CONFIDENTIAL </w:t>
      </w:r>
    </w:p>
    <w:tbl>
      <w:tblPr>
        <w:tblLook w:firstColumn="1" w:firstRow="1" w:lastColumn="0" w:lastRow="0" w:noHBand="0" w:noVBand="1" w:val="04A0"/>
        <w:tblW w:w="9060" w:type="dxa"/>
        <w:jc w:val="left"/>
        <w:tblInd w:w="24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30"/>
        <w:gridCol w:w="4530"/>
      </w:tblGrid>
      <w:tr>
        <w:tc>
          <w:tcPr>
            <w:tcW w:type="dxa" w:w="9060"/>
            <w:shd w:val="clear" w:color="auto" w:fill="F1F2F3"/>
            <w:tcMar>
              <w:top w:w="120" w:type="dxa"/>
              <w:left w:w="240" w:type="dxa"/>
              <w:bottom w:w="130" w:type="dxa"/>
              <w:right w:w="240" w:type="dxa"/>
            </w:tcMar>
          </w:tcPr>
          <w:tbl>
            <w:tblPr>
              <w:tblLook w:firstColumn="1" w:firstRow="1" w:lastColumn="0" w:lastRow="0" w:noHBand="0" w:noVBand="1" w:val="04A0"/>
              <w:tblW w:w="8816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81"/>
              <w:gridCol w:w="6435"/>
            </w:tblGrid>
            <w:tr>
              <w:tc>
                <w:tcPr>
                  <w:tcW w:type="dxa" w:w="2381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9"/>
                    </w:rPr>
                    <w:t xml:space="preserve">Notice period</w:t>
                  </w:r>
                </w:p>
              </w:tc>
              <w:tc>
                <w:tcPr>
                  <w:tcW w:type="dxa" w:w="6435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20"/>
                    </w:rPr>
                    <w:t xml:space="preserve">6 months (employer may agree 4)</w:t>
                  </w:r>
                </w:p>
              </w:tc>
            </w:tr>
            <w:tr>
              <w:tc>
                <w:tcPr>
                  <w:tcW w:type="dxa" w:w="2381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9"/>
                    </w:rPr>
                    <w:t xml:space="preserve">Current package</w:t>
                  </w:r>
                </w:p>
              </w:tc>
              <w:tc>
                <w:tcPr>
                  <w:tcW w:type="dxa" w:w="6435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20"/>
                    </w:rPr>
                    <w:t xml:space="preserve">£245,000 base · 60% bonus · LTIP</w:t>
                  </w:r>
                </w:p>
              </w:tc>
            </w:tr>
            <w:tr>
              <w:tc>
                <w:tcPr>
                  <w:tcW w:type="dxa" w:w="2381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9"/>
                    </w:rPr>
                    <w:t xml:space="preserve">Expectation</w:t>
                  </w:r>
                </w:p>
              </w:tc>
              <w:tc>
                <w:tcPr>
                  <w:tcW w:type="dxa" w:w="6435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20"/>
                    </w:rPr>
                    <w:t xml:space="preserve">£260,000 – £290,000 base plus LTIP</w:t>
                  </w:r>
                </w:p>
              </w:tc>
            </w:tr>
            <w:tr>
              <w:tc>
                <w:tcPr>
                  <w:tcW w:type="dxa" w:w="2381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9"/>
                    </w:rPr>
                    <w:t xml:space="preserve">Other processes</w:t>
                  </w:r>
                </w:p>
              </w:tc>
              <w:tc>
                <w:tcPr>
                  <w:tcW w:type="dxa" w:w="6435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20"/>
                    </w:rPr>
                    <w:t xml:space="preserve">One other process at second-interview stage</w:t>
                  </w:r>
                </w:p>
              </w:tc>
            </w:tr>
          </w:tbl>
          <w:p/>
          <w:p/>
          <w:p>
            <w:pPr>
              <w:spacing w:before="120" w:after="0"/>
            </w:pPr>
            <w:r>
              <w:rPr>
                <w:rFonts w:ascii="Calibri" w:hAnsi="Calibri" w:eastAsia="Calibri" w:cs="Calibri"/>
                <w:b w:val="0"/>
                <w:i/>
                <w:color w:val="6B6D70"/>
                <w:sz w:val="16"/>
              </w:rPr>
              <w:t>As stated by the candidate. Please do not share outside the hiring team.</w:t>
            </w:r>
          </w:p>
        </w:tc>
      </w:tr>
    </w:tbl>
    <w:p>
      <w:pPr>
        <w:keepNext/>
        <w:spacing w:before="220" w:after="120"/>
        <w:pBdr>
          <w:bottom w:val="single" w:sz="6" w:space="3" w:color="2E3338"/>
        </w:pBdr>
      </w:pPr>
      <w:r>
        <w:rPr>
          <w:rFonts w:ascii="Cambria" w:hAnsi="Cambria" w:eastAsia="Cambria" w:cs="Cambria"/>
          <w:b/>
          <w:i w:val="0"/>
          <w:color w:val="2E3338"/>
          <w:sz w:val="23"/>
        </w:rPr>
        <w:t>Next steps</w:t>
      </w:r>
    </w:p>
    <w:p>
      <w:pPr>
        <w:spacing w:before="0" w:after="160"/>
        <w:jc w:val="both"/>
      </w:pPr>
      <w:r>
        <w:rPr>
          <w:rFonts w:ascii="Calibri" w:hAnsi="Calibri" w:eastAsia="Calibri" w:cs="Calibri"/>
          <w:b w:val="0"/>
          <w:i w:val="0"/>
        </w:rPr>
        <w:t xml:space="preserve">Daniel is available for a first conversation in the week of 5 October. If you would like to meet him, I will arrange a time and send his full CV and references in advance.</w:t>
      </w:r>
    </w:p>
    <w:p>
      <w:pPr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Priya Raman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Partner, Industrial Practice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304" w:bottom="794" w:left="1304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Confidential: prepared for the named hiring manager. Candidate details are shared with the candidate’s consent.</w:t>
    </w:r>
  </w:p>
  <w:p>
    <w:pPr>
      <w:tabs>
        <w:tab w:pos="929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29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Candidate submission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Submittal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