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7937"/>
      </w:tblGrid>
      <w:tr>
        <w:tc>
          <w:tcPr>
            <w:tcW w:type="dxa" w:w="2041"/>
            <w:vAlign w:val="center"/>
          </w:tcPr>
          <w:p>
            <w:pPr>
              <w:spacing w:before="0" w:after="0" w:line="240" w:lineRule="auto"/>
              <w:rPr>
                <w:sz w:val="2"/>
              </w:rPr>
            </w:pPr>
            <w:r>
              <w:drawing>
                <wp:inline distT="0" distB="0" distL="0" distR="0">
                  <wp:extent cx="1080000" cy="1080000"/>
                  <wp:effectExtent l="0" t="0" r="0" b="0"/>
                  <wp:docPr id="1001" name="Candidate photo frame 770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after="0" w:line="240" w:lineRule="auto"/>
                                <w:jc w:val="center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sz w:val="2"/>
                                </w:rPr>
                                <w:t xml:space="preserve"/>
                              </w:r>
                              <w:r>
                                <w:drawing>
                                  <wp:inline xmlns:pic="http://schemas.openxmlformats.org/drawingml/2006/picture">
                                    <wp:extent cx="1080000" cy="1080000"/>
                                    <wp:docPr id="1002" name="Picture 7703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alexandra-kerr-round.pn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080000" cy="108000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</wp:inline>
              </w:drawing>
            </w:r>
          </w:p>
        </w:tc>
        <w:tc>
          <w:tcPr>
            <w:tcW w:type="dxa" w:w="7937"/>
            <w:vAlign w:val="center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Candidate for Group Chief Executive  ·  Halden Group</w:t>
            </w:r>
          </w:p>
          <w:p>
            <w:pPr>
              <w:spacing w:before="0" w:after="4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52"/>
              </w:rPr>
              <w:t xml:space="preserve">Alexandra Kerr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21"/>
              </w:rPr>
              <w:t xml:space="preserve">Chief Executive Officer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1"/>
              </w:rPr>
              <w:t xml:space="preserve">  ·  Harbourline Distribution  ·  London, UK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1F2226"/>
                <w:sz w:val="22"/>
              </w:rPr>
              <w:t xml:space="preserve">Chief Executive who has doubled a £1.1bn distribution business and taken it through a successful sale</w:t>
            </w:r>
          </w:p>
        </w:tc>
      </w:tr>
    </w:tbl>
    <w:p>
      <w:pPr>
        <w:spacing w:before="0" w:after="0" w:line="1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6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Leadership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Largest scale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Board</w:t>
            </w:r>
          </w:p>
        </w:tc>
        <w:tc>
          <w:tcPr>
            <w:tcW w:type="dxa" w:w="2494"/>
            <w:tcBorders>
              <w:top w:val="single" w:sz="12" w:space="0" w:color="5F6B77"/>
            </w:tcBorders>
            <w:tcMar>
              <w:top w:w="60" w:type="dxa"/>
              <w:left w:w="0" w:type="dxa"/>
              <w:bottom w:w="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Availability</w:t>
            </w:r>
          </w:p>
        </w:tc>
      </w:tr>
      <w:tr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17 years in P&amp;L roles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£1.1bn · 6,800 people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plc NED · RemCo Chair</w:t>
            </w:r>
          </w:p>
        </w:tc>
        <w:tc>
          <w:tcPr>
            <w:tcW w:type="dxa" w:w="2494"/>
            <w:tcMar>
              <w:top w:w="0" w:type="dxa"/>
              <w:left w:w="0" w:type="dxa"/>
              <w:bottom w:w="40" w:type="dxa"/>
              <w:right w:w="16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6 months · will relocate</w:t>
            </w:r>
          </w:p>
        </w:tc>
      </w:tr>
    </w:tbl>
    <w:p>
      <w:pPr>
        <w:spacing w:before="0" w:after="0" w:line="20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009"/>
        <w:gridCol w:w="283"/>
        <w:gridCol w:w="3685"/>
      </w:tblGrid>
      <w:tr>
        <w:tc>
          <w:tcPr>
            <w:tcW w:type="dxa" w:w="6009"/>
            <w:vAlign w:val="top"/>
          </w:tcPr>
          <w:p>
            <w:pPr>
              <w:spacing w:before="80" w:after="80"/>
              <w:keepNext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Profile</w:t>
            </w:r>
          </w:p>
          <w:p>
            <w:pPr>
              <w:spacing w:before="0" w:after="4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Alexandra has led Harbourline Distribution as CEO since 2019, growing revenue from £540m to £1.1bn through organic expansion and three acquisitions, and leading the business through its sale to Brookmere Capital in 2024. Before that she was COO of Stratton Rail Freight and spent a decade in operational and finance leadership at Kestrel Freight. She is known for building strong executive teams, disciplined capital allocation and a calm, direct style with boards and investors.</w:t>
            </w:r>
          </w:p>
          <w:p>
            <w:pPr>
              <w:keepNext/>
              <w:spacing w:before="200" w:after="8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Career</w:t>
            </w:r>
          </w:p>
          <w:p>
            <w:pPr>
              <w:keepNext/>
              <w:tabs>
                <w:tab w:pos="5981" w:val="right"/>
              </w:tabs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Chief Executive Officer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·  Harbourline Distribution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2019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£1.1bn revenue, 6,800 people; sale to Brookmere Capital (2024) at 11.4x EBITDA</w:t>
            </w:r>
          </w:p>
          <w:p>
            <w:pPr>
              <w:keepNext/>
              <w:tabs>
                <w:tab w:pos="5981" w:val="right"/>
              </w:tabs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Chief Operating Officer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·  Stratton Rail Freight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2015 – 2019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Led a £120m network modernisation; EBITDA margin up from 7.9% to 11.2%</w:t>
            </w:r>
          </w:p>
          <w:p>
            <w:pPr>
              <w:keepNext/>
              <w:tabs>
                <w:tab w:pos="5981" w:val="right"/>
              </w:tabs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Managing Director, UK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·  Kestrel Freight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2011 – 2015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P&amp;L for a £380m UK business; returned the division to growth in year two</w:t>
            </w:r>
          </w:p>
          <w:p>
            <w:pPr>
              <w:keepNext/>
              <w:tabs>
                <w:tab w:pos="5981" w:val="right"/>
              </w:tabs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Finance Director, Operations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·  Kestrel Freight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2005 – 2011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Finance lead for the network redesign and two bolt-on acquisitions</w:t>
            </w:r>
          </w:p>
          <w:p>
            <w:pPr>
              <w:keepNext/>
              <w:tabs>
                <w:tab w:pos="5981" w:val="right"/>
              </w:tabs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Senior Manager, Transaction Services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  ·  Calder &amp; Webb LLP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5F6B77"/>
                <w:sz w:val="17"/>
              </w:rPr>
              <w:t xml:space="preserve">2001 – 2005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Due diligence on mid-market logistics and industrial deals</w:t>
            </w:r>
          </w:p>
          <w:p>
            <w:pPr>
              <w:keepNext/>
              <w:spacing w:before="240" w:after="8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Track record</w:t>
            </w:r>
          </w:p>
          <w:p>
            <w:pPr>
              <w:pStyle w:val="ListBullet"/>
              <w:spacing w:before="60" w:after="0"/>
              <w:ind w:left="283" w:hanging="198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Doubled revenue to £1.1bn in five years while lifting EBITDA margin from 8.1% to 12.6%</w:t>
            </w:r>
          </w:p>
          <w:p>
            <w:pPr>
              <w:pStyle w:val="ListBullet"/>
              <w:spacing w:before="60" w:after="0"/>
              <w:ind w:left="283" w:hanging="198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Led the 2024 sale to Brookmere Capital at 11.4x EBITDA, retaining the full executive team</w:t>
            </w:r>
          </w:p>
          <w:p>
            <w:pPr>
              <w:pStyle w:val="ListBullet"/>
              <w:spacing w:before="60" w:after="0"/>
              <w:ind w:left="283" w:hanging="198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Completed and integrated three acquisitions with no loss of key customers</w:t>
            </w:r>
          </w:p>
          <w:p>
            <w:pPr>
              <w:pStyle w:val="ListBullet"/>
              <w:spacing w:before="60" w:after="0"/>
              <w:ind w:left="283" w:hanging="198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Built a diverse executive team: four of seven direct reports promoted from within</w:t>
            </w:r>
          </w:p>
        </w:tc>
        <w:tc>
          <w:tcPr>
            <w:tcW w:type="dxa" w:w="283"/>
          </w:tcPr>
          <w:p/>
        </w:tc>
        <w:tc>
          <w:tcPr>
            <w:tcW w:type="dxa" w:w="3685"/>
            <w:vAlign w:val="top"/>
            <w:shd w:val="clear" w:color="auto" w:fill="F1F2F3"/>
            <w:tcMar>
              <w:top w:w="120" w:type="dxa"/>
              <w:left w:w="220" w:type="dxa"/>
              <w:bottom w:w="200" w:type="dxa"/>
              <w:right w:w="220" w:type="dxa"/>
            </w:tcMar>
          </w:tcPr>
          <w:p>
            <w:pPr>
              <w:spacing w:before="0" w:after="80"/>
              <w:keepNext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Board and governance</w:t>
            </w:r>
          </w:p>
          <w:p>
            <w:pPr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Non-Executive Director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Corran Foods plc  ·  2021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Chair of the Remuneration Committee; member of Audit</w:t>
            </w:r>
          </w:p>
          <w:p>
            <w:pPr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Board member (executive)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Harbourline Distribution  ·  2019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Reports to a private-equity board</w:t>
            </w:r>
          </w:p>
          <w:p>
            <w:pPr>
              <w:spacing w:before="10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8"/>
              </w:rPr>
              <w:t xml:space="preserve">Trustee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7"/>
              </w:rPr>
              <w:t xml:space="preserve">Freight Skills Foundation  ·  2018 – Present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Charity funding apprenticeships in logistics</w:t>
            </w:r>
          </w:p>
          <w:p>
            <w:pPr>
              <w:keepNext/>
              <w:spacing w:before="240" w:after="8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Education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MBA, INSEAD (2010)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ACA, ICAEW (2004)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BSc (Hons) Economics, University of Bristol (2000)</w:t>
            </w:r>
          </w:p>
          <w:p>
            <w:pPr>
              <w:keepNext/>
              <w:spacing w:before="280" w:after="80"/>
              <w:pBdr>
                <w:bottom w:val="single" w:sz="6" w:space="3" w:color="DFE0E1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5"/>
              </w:rPr>
              <w:t>Compensation</w:t>
            </w:r>
            <w:r>
              <w:rPr>
                <w:rFonts w:ascii="Calibri" w:hAnsi="Calibri" w:eastAsia="Calibri" w:cs="Calibri"/>
                <w:b w:val="0"/>
                <w:i w:val="0"/>
              </w:rPr>
              <w:t xml:space="preserve">   </w:t>
            </w:r>
            <w:r>
              <w:rPr>
                <w:rFonts w:ascii="Calibri" w:hAnsi="Calibri" w:eastAsia="Calibri" w:cs="Calibri"/>
                <w:b/>
                <w:i w:val="0"/>
                <w:color w:val="FFFFFF"/>
                <w:sz w:val="14"/>
                <w:spacing w:val="20"/>
                <w:shd w:val="clear" w:color="auto" w:fill="2E3338"/>
              </w:rPr>
              <w:t xml:space="preserve"> CONFIDENTIAL </w:t>
            </w:r>
          </w:p>
          <w:p>
            <w:pPr>
              <w:tabs>
                <w:tab w:pos="3243" w:val="right"/>
              </w:tabs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Current base salary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£520,000</w:t>
            </w:r>
          </w:p>
          <w:p>
            <w:pPr>
              <w:tabs>
                <w:tab w:pos="3243" w:val="right"/>
              </w:tabs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Annual bonus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Up to 100% of base</w:t>
            </w:r>
          </w:p>
          <w:p>
            <w:pPr>
              <w:tabs>
                <w:tab w:pos="3243" w:val="right"/>
              </w:tabs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Long-term incentive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PE management equity</w:t>
            </w:r>
          </w:p>
          <w:p>
            <w:pPr>
              <w:tabs>
                <w:tab w:pos="3243" w:val="right"/>
              </w:tabs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Expectation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£575,000 – £625,000 base</w:t>
            </w:r>
          </w:p>
          <w:p>
            <w:pPr>
              <w:tabs>
                <w:tab w:pos="3243" w:val="right"/>
              </w:tabs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Notice period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6 months</w:t>
            </w:r>
          </w:p>
          <w:p>
            <w:pPr>
              <w:spacing w:before="100" w:after="0"/>
            </w:pPr>
            <w:r>
              <w:rPr>
                <w:rFonts w:ascii="Calibri" w:hAnsi="Calibri" w:eastAsia="Calibri" w:cs="Calibri"/>
                <w:b w:val="0"/>
                <w:i/>
                <w:color w:val="6B6D70"/>
                <w:sz w:val="15"/>
              </w:rPr>
              <w:t>Figures as stated by the candidate; not for onward disclosure.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00" w:type="dxa"/>
        <w:jc w:val="left"/>
        <w:tblInd w:w="2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00"/>
      </w:tblGrid>
      <w:tr>
        <w:tc>
          <w:tcPr>
            <w:tcW w:type="dxa" w:w="9700"/>
            <w:shd w:val="clear" w:color="auto" w:fill="F1F2F3"/>
            <w:tcMar>
              <w:top w:w="150" w:type="dxa"/>
              <w:left w:w="280" w:type="dxa"/>
              <w:bottom w:w="170" w:type="dxa"/>
              <w:right w:w="280" w:type="dxa"/>
            </w:tcMar>
            <w:tcBorders>
              <w:left w:val="single" w:sz="36" w:space="0" w:color="5F6B77"/>
            </w:tcBorders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Consultant’s view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/>
                <w:color w:val="2E3338"/>
                <w:sz w:val="21"/>
              </w:rPr>
              <w:t xml:space="preserve">A proven, investor-ready CEO with a clean record of growth and exit. The move to a listed group is the main change; her plc NED role and audit experience reduce that risk. Recommended for first-round interview with the Chair.</w:t>
            </w:r>
          </w:p>
        </w:tc>
      </w:tr>
    </w:tbl>
    <w:p>
      <w:pPr>
        <w:keepNext/>
        <w:spacing w:before="24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Next steps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326"/>
        <w:gridCol w:w="3326"/>
        <w:gridCol w:w="3326"/>
      </w:tblGrid>
      <w:tr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References</w:t>
            </w:r>
          </w:p>
        </w:tc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Interview</w:t>
            </w:r>
          </w:p>
        </w:tc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 xml:space="preserve">Contact</w:t>
            </w:r>
          </w:p>
        </w:tc>
      </w:tr>
      <w:tr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Three taken: former Chair, lead investor and a plc board peer</w:t>
            </w:r>
          </w:p>
        </w:tc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First round with the Chair, week commencing 5 October 2026</w:t>
            </w:r>
          </w:p>
        </w:tc>
        <w:tc>
          <w:tcPr>
            <w:tcW w:type="dxa" w:w="332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Priya Raman  ·  priya.raman@example.com  ·  +44 7700 900417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794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Strictly private and confidential. Prepared for the client’s board; not to be shared with the candidate or any third party.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2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CEO candidate profile  ·  Strictly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CEO Candidate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