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ageBreakBefore/>
        <w:spacing w:before="0" w:after="0" w:line="20" w:lineRule="exact"/>
      </w:pPr>
      <w:r>
        <w:rPr>
          <w:rFonts w:ascii="Calibri" w:hAnsi="Calibri" w:eastAsia="Calibri" w:cs="Calibri"/>
          <w:b w:val="0"/>
          <w:i w:val="0"/>
          <w:sz w:val="2"/>
        </w:rPr>
      </w:r>
    </w:p>
    <w:tbl>
      <w:tblPr>
        <w:tblLook w:firstColumn="1" w:firstRow="1" w:lastColumn="0" w:lastRow="0" w:noHBand="0" w:noVBand="1" w:val="04A0"/>
        <w:tblW w:w="975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324"/>
        <w:gridCol w:w="7428"/>
      </w:tblGrid>
      <w:tr>
        <w:tc>
          <w:tcPr>
            <w:tcW w:type="dxa" w:w="2324"/>
            <w:vAlign w:val="center"/>
            <w:tcMar>
              <w:top w:w="0" w:type="dxa"/>
              <w:left w:w="0" w:type="dxa"/>
              <w:bottom w:w="0" w:type="dxa"/>
              <w:right w:w="200" w:type="dxa"/>
            </w:tcMar>
          </w:tcPr>
          <w:p>
            <w:pPr>
              <w:spacing w:before="0" w:after="0" w:line="240" w:lineRule="auto"/>
              <w:jc w:val="left"/>
              <w:rPr>
                <w:sz w:val="2"/>
              </w:rPr>
            </w:pPr>
            <w:r>
              <w:drawing>
                <wp:inline distT="0" distB="0" distL="0" distR="0">
                  <wp:extent cx="1296000" cy="1080000"/>
                  <wp:effectExtent l="0" t="0" r="0" b="0"/>
                  <wp:docPr id="1001" name="Candidate photo frame 7701"/>
                  <wp:cNvGraphicFramePr/>
                  <a:graphic xmlns:a="http://schemas.openxmlformats.org/drawingml/2006/main">
                    <a:graphicData uri="http://schemas.microsoft.com/office/word/2010/wordprocessingShape">
                      <wps:wsp>
                        <wps:cNvSpPr txBox="1"/>
                        <wps:spPr>
                          <a:xfrm>
                            <a:off x="0" y="0"/>
                            <a:ext cx="1296000" cy="1080000"/>
                          </a:xfrm>
                          <a:prstGeom prst="rect">
                            <a:avLst/>
                          </a:prstGeom>
                          <a:noFill/>
                          <a:ln>
                            <a:noFill/>
                          </a:ln>
                        </wps:spPr>
                        <wps:txbx>
                          <w:txbxContent>
                            <w:p>
                              <w:pPr>
                                <w:spacing w:before="0" w:after="0" w:line="240" w:lineRule="auto"/>
                                <w:jc w:val="left"/>
                                <w:rPr>
                                  <w:sz w:val="2"/>
                                </w:rPr>
                              </w:pPr>
                              <w:r>
                                <w:rPr>
                                  <w:sz w:val="2"/>
                                </w:rPr>
                                <w:t xml:space="preserve"/>
                              </w:r>
                              <w:r>
                                <w:drawing>
                                  <wp:inline xmlns:pic="http://schemas.openxmlformats.org/drawingml/2006/picture">
                                    <wp:extent cx="1080000" cy="1080000"/>
                                    <wp:docPr id="1002" name="Picture 7702"/>
                                    <wp:cNvGraphicFramePr>
                                      <a:graphicFrameLocks noChangeAspect="1"/>
                                    </wp:cNvGraphicFramePr>
                                    <a:graphic>
                                      <a:graphicData uri="http://schemas.openxmlformats.org/drawingml/2006/picture">
                                        <pic:pic>
                                          <pic:nvPicPr>
                                            <pic:cNvPr id="0" name="eleanor-marsh.jpg"/>
                                            <pic:cNvPicPr/>
                                          </pic:nvPicPr>
                                          <pic:blipFill>
                                            <a:blip r:embed="rId11"/>
                                            <a:stretch>
                                              <a:fillRect/>
                                            </a:stretch>
                                          </pic:blipFill>
                                          <pic:spPr>
                                            <a:xfrm>
                                              <a:off x="0" y="0"/>
                                              <a:ext cx="1080000" cy="1080000"/>
                                            </a:xfrm>
                                            <a:prstGeom prst="rect"/>
                                          </pic:spPr>
                                        </pic:pic>
                                      </a:graphicData>
                                    </a:graphic>
                                  </wp:inline>
                                </w:drawing>
                              </w:r>
                              <w:r>
                                <w:t xml:space="preserve"/>
                              </w:r>
                            </w:p>
                          </w:txbxContent>
                        </wps:txbx>
                        <wps:bodyPr rot="0" vert="horz" wrap="square" lIns="0" tIns="0" rIns="0" bIns="0" anchor="t" anchorCtr="0">
                          <a:noAutofit/>
                        </wps:bodyPr>
                      </wps:wsp>
                    </a:graphicData>
                  </a:graphic>
                </wp:inline>
              </w:drawing>
            </w:r>
          </w:p>
        </w:tc>
        <w:tc>
          <w:tcPr>
            <w:tcW w:type="dxa" w:w="7428"/>
            <w:vAlign w:val="center"/>
            <w:tcMar>
              <w:top w:w="0" w:type="dxa"/>
              <w:left w:w="200" w:type="dxa"/>
              <w:bottom w:w="0" w:type="dxa"/>
              <w:right w:w="0" w:type="dxa"/>
            </w:tcMar>
          </w:tcPr>
          <w:p>
            <w:pPr>
              <w:spacing w:before="0" w:after="40"/>
            </w:pPr>
            <w:r>
              <w:rPr>
                <w:rFonts w:ascii="Calibri" w:hAnsi="Calibri" w:eastAsia="Calibri" w:cs="Calibri"/>
                <w:b/>
                <w:i w:val="0"/>
                <w:caps/>
                <w:color w:val="5F6B77"/>
                <w:sz w:val="15"/>
                <w:spacing w:val="30"/>
              </w:rPr>
              <w:t>Candidate report</w:t>
            </w:r>
          </w:p>
          <w:p>
            <w:pPr>
              <w:spacing w:before="0" w:after="40"/>
            </w:pPr>
            <w:r>
              <w:rPr>
                <w:rFonts w:ascii="Cambria" w:hAnsi="Cambria" w:eastAsia="Cambria" w:cs="Cambria"/>
                <w:b w:val="0"/>
                <w:i w:val="0"/>
                <w:color w:val="2E3338"/>
                <w:sz w:val="46"/>
              </w:rPr>
              <w:t xml:space="preserve">Eleanor Marsh</w:t>
            </w:r>
          </w:p>
          <w:p>
            <w:pPr>
              <w:spacing w:before="0" w:after="40"/>
            </w:pPr>
            <w:r>
              <w:rPr>
                <w:rFonts w:ascii="Calibri" w:hAnsi="Calibri" w:eastAsia="Calibri" w:cs="Calibri"/>
                <w:b/>
                <w:i w:val="0"/>
                <w:color w:val="5F6B77"/>
                <w:sz w:val="21"/>
              </w:rPr>
              <w:t xml:space="preserve">Financial Controller</w:t>
            </w:r>
            <w:r>
              <w:rPr>
                <w:rFonts w:ascii="Calibri" w:hAnsi="Calibri" w:eastAsia="Calibri" w:cs="Calibri"/>
                <w:b w:val="0"/>
                <w:i w:val="0"/>
                <w:color w:val="6B6D70"/>
                <w:sz w:val="20"/>
              </w:rPr>
              <w:t xml:space="preserve">   ·   Tolland Marine &amp; Energy</w:t>
            </w:r>
          </w:p>
          <w:p>
            <w:pPr>
              <w:spacing w:before="0" w:after="0"/>
            </w:pPr>
            <w:r>
              <w:rPr>
                <w:rFonts w:ascii="Calibri" w:hAnsi="Calibri" w:eastAsia="Calibri" w:cs="Calibri"/>
                <w:b w:val="0"/>
                <w:i w:val="0"/>
                <w:color w:val="6B6D70"/>
                <w:sz w:val="18"/>
              </w:rPr>
              <w:t xml:space="preserve">Bristol, UK</w:t>
            </w:r>
          </w:p>
        </w:tc>
      </w:tr>
    </w:tbl>
    <w:p>
      <w:pPr>
        <w:spacing w:before="0" w:after="0" w:line="160" w:lineRule="exact"/>
      </w:pPr>
      <w:r>
        <w:rPr>
          <w:rFonts w:ascii="Calibri" w:hAnsi="Calibri" w:eastAsia="Calibri" w:cs="Calibri"/>
          <w:b w:val="0"/>
          <w:i w:val="0"/>
          <w:sz w:val="2"/>
        </w:rPr>
      </w:r>
    </w:p>
    <w:tbl>
      <w:tblPr>
        <w:tblLook w:firstColumn="1" w:firstRow="1" w:lastColumn="0" w:lastRow="0" w:noHBand="0" w:noVBand="1" w:val="04A0"/>
        <w:tblW w:w="9753"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291"/>
        <w:gridCol w:w="2536"/>
        <w:gridCol w:w="2926"/>
      </w:tblGrid>
      <w:tr>
        <w:trPr>
          <w:cantSplit/>
        </w:trPr>
        <w:tc>
          <w:tcPr>
            <w:tcW w:type="dxa" w:w="4291"/>
            <w:shd w:val="clear" w:color="auto" w:fill="F2F3F3"/>
            <w:tcBorders>
              <w:top w:val="single" w:sz="12" w:space="0" w:color="2E3338"/>
            </w:tcBorders>
            <w:tcMar>
              <w:top w:w="100" w:type="dxa"/>
              <w:left w:w="160" w:type="dxa"/>
              <w:bottom w:w="110" w:type="dxa"/>
              <w:right w:w="140" w:type="dxa"/>
            </w:tcMar>
            <w:vAlign w:val="top"/>
          </w:tcPr>
          <w:p>
            <w:pPr>
              <w:spacing w:before="0" w:after="40"/>
            </w:pPr>
            <w:r>
              <w:rPr>
                <w:rFonts w:ascii="Calibri" w:hAnsi="Calibri" w:eastAsia="Calibri" w:cs="Calibri"/>
                <w:b/>
                <w:i w:val="0"/>
                <w:caps/>
                <w:color w:val="5F6B77"/>
                <w:sz w:val="14"/>
                <w:spacing w:val="30"/>
              </w:rPr>
              <w:t>Considered for</w:t>
            </w:r>
          </w:p>
          <w:p>
            <w:pPr>
              <w:spacing w:before="0" w:after="0"/>
            </w:pPr>
            <w:r>
              <w:rPr>
                <w:rFonts w:ascii="Calibri" w:hAnsi="Calibri" w:eastAsia="Calibri" w:cs="Calibri"/>
                <w:b/>
                <w:i w:val="0"/>
                <w:color w:val="2E3338"/>
                <w:sz w:val="19"/>
              </w:rPr>
              <w:t xml:space="preserve">Group Financial Controller, Penhallow &amp; Brice Group</w:t>
            </w:r>
          </w:p>
        </w:tc>
        <w:tc>
          <w:tcPr>
            <w:tcW w:type="dxa" w:w="2536"/>
            <w:shd w:val="clear" w:color="auto" w:fill="F2F3F3"/>
            <w:tcBorders>
              <w:top w:val="single" w:sz="12" w:space="0" w:color="2E3338"/>
            </w:tcBorders>
            <w:tcMar>
              <w:top w:w="100" w:type="dxa"/>
              <w:left w:w="160" w:type="dxa"/>
              <w:bottom w:w="110" w:type="dxa"/>
              <w:right w:w="140" w:type="dxa"/>
            </w:tcMar>
            <w:vAlign w:val="top"/>
          </w:tcPr>
          <w:p>
            <w:pPr>
              <w:spacing w:before="0" w:after="40"/>
            </w:pPr>
            <w:r>
              <w:rPr>
                <w:rFonts w:ascii="Calibri" w:hAnsi="Calibri" w:eastAsia="Calibri" w:cs="Calibri"/>
                <w:b/>
                <w:i w:val="0"/>
                <w:caps/>
                <w:color w:val="5F6B77"/>
                <w:sz w:val="14"/>
                <w:spacing w:val="30"/>
              </w:rPr>
              <w:t>Interviewed by</w:t>
            </w:r>
          </w:p>
          <w:p>
            <w:pPr>
              <w:spacing w:before="0" w:after="0"/>
            </w:pPr>
            <w:r>
              <w:rPr>
                <w:rFonts w:ascii="Calibri" w:hAnsi="Calibri" w:eastAsia="Calibri" w:cs="Calibri"/>
                <w:b/>
                <w:i w:val="0"/>
                <w:color w:val="2E3338"/>
                <w:sz w:val="19"/>
              </w:rPr>
              <w:t xml:space="preserve">James Calloway</w:t>
            </w:r>
          </w:p>
        </w:tc>
        <w:tc>
          <w:tcPr>
            <w:tcW w:type="dxa" w:w="2926"/>
            <w:shd w:val="clear" w:color="auto" w:fill="F2F3F3"/>
            <w:tcBorders>
              <w:top w:val="single" w:sz="12" w:space="0" w:color="2E3338"/>
            </w:tcBorders>
            <w:tcMar>
              <w:top w:w="100" w:type="dxa"/>
              <w:left w:w="160" w:type="dxa"/>
              <w:bottom w:w="110" w:type="dxa"/>
              <w:right w:w="140" w:type="dxa"/>
            </w:tcMar>
            <w:vAlign w:val="top"/>
          </w:tcPr>
          <w:p>
            <w:pPr>
              <w:spacing w:before="0" w:after="40"/>
            </w:pPr>
            <w:r>
              <w:rPr>
                <w:rFonts w:ascii="Calibri" w:hAnsi="Calibri" w:eastAsia="Calibri" w:cs="Calibri"/>
                <w:b/>
                <w:i w:val="0"/>
                <w:caps/>
                <w:color w:val="5F6B77"/>
                <w:sz w:val="14"/>
                <w:spacing w:val="30"/>
              </w:rPr>
              <w:t>Interview</w:t>
            </w:r>
          </w:p>
          <w:p>
            <w:pPr>
              <w:spacing w:before="0" w:after="0"/>
            </w:pPr>
            <w:r>
              <w:rPr>
                <w:rFonts w:ascii="Calibri" w:hAnsi="Calibri" w:eastAsia="Calibri" w:cs="Calibri"/>
                <w:b/>
                <w:i w:val="0"/>
                <w:color w:val="2E3338"/>
                <w:sz w:val="19"/>
              </w:rPr>
              <w:t xml:space="preserve">12 October 2026  ·  Video call, 50 minutes</w:t>
            </w:r>
          </w:p>
        </w:tc>
      </w:tr>
    </w:tbl>
    <w:p>
      <w:pPr>
        <w:keepNext/>
        <w:spacing w:before="240" w:after="100"/>
        <w:pBdr>
          <w:bottom w:val="single" w:sz="6" w:space="4" w:color="DFE0E1"/>
        </w:pBdr>
      </w:pPr>
      <w:r>
        <w:rPr>
          <w:rFonts w:ascii="Cambria" w:hAnsi="Cambria" w:eastAsia="Cambria" w:cs="Cambria"/>
          <w:b w:val="0"/>
          <w:i w:val="0"/>
          <w:color w:val="2E3338"/>
          <w:sz w:val="24"/>
        </w:rPr>
        <w:t>Candidate summary</w:t>
      </w:r>
    </w:p>
    <w:p>
      <w:pPr>
        <w:spacing w:before="0" w:after="40"/>
        <w:jc w:val="both"/>
      </w:pPr>
      <w:r>
        <w:rPr>
          <w:rFonts w:ascii="Calibri" w:hAnsi="Calibri" w:eastAsia="Calibri" w:cs="Calibri"/>
          <w:b w:val="0"/>
          <w:i w:val="0"/>
        </w:rPr>
        <w:t xml:space="preserve">Eleanor is Financial Controller of Tolland Marine &amp; Energy, a £260m engineering services business, where she leads a team of fourteen across group reporting, tax and treasury. She qualified as an ACA with Calder &amp; Webb LLP and moved into industry in 2017, taking on the controller role after leading the integration of two acquisitions.</w:t>
      </w:r>
    </w:p>
    <w:p>
      <w:pPr>
        <w:keepNext/>
        <w:spacing w:before="240" w:after="100"/>
        <w:pBdr>
          <w:bottom w:val="single" w:sz="6" w:space="4" w:color="DFE0E1"/>
        </w:pBdr>
      </w:pPr>
      <w:r>
        <w:rPr>
          <w:rFonts w:ascii="Cambria" w:hAnsi="Cambria" w:eastAsia="Cambria" w:cs="Cambria"/>
          <w:b w:val="0"/>
          <w:i w:val="0"/>
          <w:color w:val="2E3338"/>
          <w:sz w:val="24"/>
        </w:rPr>
        <w:t>Current situation</w:t>
      </w:r>
    </w:p>
    <w:p>
      <w:pPr>
        <w:spacing w:before="0" w:after="40"/>
        <w:jc w:val="both"/>
      </w:pPr>
      <w:r>
        <w:rPr>
          <w:rFonts w:ascii="Calibri" w:hAnsi="Calibri" w:eastAsia="Calibri" w:cs="Calibri"/>
          <w:b w:val="0"/>
          <w:i w:val="0"/>
        </w:rPr>
        <w:t xml:space="preserve">Eleanor has been in her role for four years and has delivered the systems and reporting changes she was hired for. The business is now being prepared for sale, and she is ready for a broader group role before the next owner arrives.</w:t>
      </w:r>
    </w:p>
    <w:p>
      <w:pPr>
        <w:keepNext/>
        <w:spacing w:before="240" w:after="100"/>
        <w:pBdr>
          <w:bottom w:val="single" w:sz="6" w:space="4" w:color="DFE0E1"/>
        </w:pBdr>
      </w:pPr>
      <w:r>
        <w:rPr>
          <w:rFonts w:ascii="Cambria" w:hAnsi="Cambria" w:eastAsia="Cambria" w:cs="Cambria"/>
          <w:b w:val="0"/>
          <w:i w:val="0"/>
          <w:color w:val="2E3338"/>
          <w:sz w:val="24"/>
        </w:rPr>
        <w:t>Motivation</w:t>
      </w:r>
    </w:p>
    <w:p>
      <w:pPr>
        <w:spacing w:before="0" w:after="40"/>
        <w:jc w:val="both"/>
      </w:pPr>
      <w:r>
        <w:rPr>
          <w:rFonts w:ascii="Calibri" w:hAnsi="Calibri" w:eastAsia="Calibri" w:cs="Calibri"/>
          <w:b w:val="0"/>
          <w:i w:val="0"/>
        </w:rPr>
        <w:t xml:space="preserve">She is drawn by the scale of Penhallow &amp; Brice Group, the multi-entity consolidation and the chance to work closely with the CFO on the planned refinancing.</w:t>
      </w:r>
    </w:p>
    <w:p>
      <w:pPr>
        <w:keepNext/>
        <w:spacing w:before="240" w:after="100"/>
        <w:pBdr>
          <w:bottom w:val="single" w:sz="6" w:space="4" w:color="DFE0E1"/>
        </w:pBdr>
      </w:pPr>
      <w:r>
        <w:rPr>
          <w:rFonts w:ascii="Cambria" w:hAnsi="Cambria" w:eastAsia="Cambria" w:cs="Cambria"/>
          <w:b w:val="0"/>
          <w:i w:val="0"/>
          <w:color w:val="2E3338"/>
          <w:sz w:val="24"/>
        </w:rPr>
        <w:t>Fit against the brief</w:t>
      </w:r>
    </w:p>
    <w:tbl>
      <w:tblPr>
        <w:tblLook w:firstColumn="1" w:firstRow="1" w:lastColumn="0" w:lastRow="0" w:noHBand="0" w:noVBand="1" w:val="04A0"/>
        <w:tblW w:w="975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608"/>
        <w:gridCol w:w="5897"/>
        <w:gridCol w:w="1247"/>
      </w:tblGrid>
      <w:tr>
        <w:trPr>
          <w:tblHeader/>
          <w:cantSplit/>
        </w:trPr>
        <w:tc>
          <w:tcPr>
            <w:tcW w:type="dxa" w:w="2608"/>
            <w:shd w:val="clear" w:color="auto" w:fill="2E3338"/>
            <w:vAlign w:val="center"/>
            <w:tcMar>
              <w:top w:w="70" w:type="dxa"/>
              <w:left w:w="90" w:type="dxa"/>
              <w:bottom w:w="70" w:type="dxa"/>
              <w:right w:w="90" w:type="dxa"/>
            </w:tcMar>
          </w:tcPr>
          <w:p>
            <w:pPr>
              <w:keepNext/>
              <w:spacing w:before="0" w:after="0"/>
            </w:pPr>
            <w:r>
              <w:rPr>
                <w:rFonts w:ascii="Calibri" w:hAnsi="Calibri" w:eastAsia="Calibri" w:cs="Calibri"/>
                <w:b/>
                <w:i w:val="0"/>
                <w:caps/>
                <w:color w:val="FFFFFF"/>
                <w:sz w:val="14"/>
                <w:spacing w:val="15"/>
              </w:rPr>
              <w:t>The brief asks for</w:t>
            </w:r>
          </w:p>
        </w:tc>
        <w:tc>
          <w:tcPr>
            <w:tcW w:type="dxa" w:w="5897"/>
            <w:shd w:val="clear" w:color="auto" w:fill="2E3338"/>
            <w:vAlign w:val="center"/>
            <w:tcMar>
              <w:top w:w="70" w:type="dxa"/>
              <w:left w:w="90" w:type="dxa"/>
              <w:bottom w:w="70" w:type="dxa"/>
              <w:right w:w="90" w:type="dxa"/>
            </w:tcMar>
          </w:tcPr>
          <w:p>
            <w:pPr>
              <w:keepNext/>
              <w:spacing w:before="0" w:after="0"/>
            </w:pPr>
            <w:r>
              <w:rPr>
                <w:rFonts w:ascii="Calibri" w:hAnsi="Calibri" w:eastAsia="Calibri" w:cs="Calibri"/>
                <w:b/>
                <w:i w:val="0"/>
                <w:caps/>
                <w:color w:val="FFFFFF"/>
                <w:sz w:val="14"/>
                <w:spacing w:val="15"/>
              </w:rPr>
              <w:t>What we found</w:t>
            </w:r>
          </w:p>
        </w:tc>
        <w:tc>
          <w:tcPr>
            <w:tcW w:type="dxa" w:w="1247"/>
            <w:shd w:val="clear" w:color="auto" w:fill="2E3338"/>
            <w:vAlign w:val="center"/>
            <w:tcMar>
              <w:top w:w="70" w:type="dxa"/>
              <w:left w:w="90" w:type="dxa"/>
              <w:bottom w:w="70" w:type="dxa"/>
              <w:right w:w="90" w:type="dxa"/>
            </w:tcMar>
          </w:tcPr>
          <w:p>
            <w:pPr>
              <w:keepNext/>
              <w:spacing w:before="0" w:after="0"/>
            </w:pPr>
            <w:r>
              <w:rPr>
                <w:rFonts w:ascii="Calibri" w:hAnsi="Calibri" w:eastAsia="Calibri" w:cs="Calibri"/>
                <w:b/>
                <w:i w:val="0"/>
                <w:caps/>
                <w:color w:val="FFFFFF"/>
                <w:sz w:val="14"/>
                <w:spacing w:val="15"/>
              </w:rPr>
              <w:t>Match</w:t>
            </w:r>
          </w:p>
        </w:tc>
      </w:tr>
      <w:tr>
        <w:trPr>
          <w:cantSplit/>
        </w:trPr>
        <w:tc>
          <w:tcPr>
            <w:tcW w:type="dxa" w:w="2608"/>
            <w:tcBorders>
              <w:bottom w:val="single" w:sz="4" w:space="0" w:color="DFE0E1"/>
            </w:tcBorders>
            <w:vAlign w:val="center"/>
            <w:tcMar>
              <w:top w:w="60" w:type="dxa"/>
              <w:left w:w="90" w:type="dxa"/>
              <w:bottom w:w="60" w:type="dxa"/>
              <w:right w:w="90" w:type="dxa"/>
            </w:tcMar>
          </w:tcPr>
          <w:p>
            <w:r>
              <w:rPr>
                <w:rFonts w:ascii="Calibri" w:hAnsi="Calibri" w:eastAsia="Calibri" w:cs="Calibri"/>
                <w:b/>
                <w:i w:val="0"/>
                <w:color w:val="2E3338"/>
                <w:sz w:val="17"/>
              </w:rPr>
              <w:t xml:space="preserve">Qualified accountant, ACA or ACCA</w:t>
            </w:r>
          </w:p>
        </w:tc>
        <w:tc>
          <w:tcPr>
            <w:tcW w:type="dxa" w:w="5897"/>
            <w:tcBorders>
              <w:bottom w:val="single" w:sz="4" w:space="0" w:color="DFE0E1"/>
            </w:tcBorders>
            <w:vAlign w:val="center"/>
            <w:tcMar>
              <w:top w:w="60" w:type="dxa"/>
              <w:left w:w="90" w:type="dxa"/>
              <w:bottom w:w="60" w:type="dxa"/>
              <w:right w:w="90" w:type="dxa"/>
            </w:tcMar>
          </w:tcPr>
          <w:p>
            <w:r>
              <w:rPr>
                <w:rFonts w:ascii="Calibri" w:hAnsi="Calibri" w:eastAsia="Calibri" w:cs="Calibri"/>
                <w:b w:val="0"/>
                <w:i w:val="0"/>
                <w:sz w:val="17"/>
              </w:rPr>
              <w:t xml:space="preserve">ACA qualified with Calder &amp; Webb LLP in 2015, with three years in audit before moving into industry.</w:t>
            </w:r>
          </w:p>
        </w:tc>
        <w:tc>
          <w:tcPr>
            <w:shd w:val="clear" w:color="auto" w:fill="2E3338"/>
            <w:tcW w:type="dxa" w:w="1247"/>
            <w:tcBorders>
              <w:top w:val="single" w:sz="18" w:space="0" w:color="FFFFFF"/>
              <w:left w:val="single" w:sz="18" w:space="0" w:color="FFFFFF"/>
              <w:bottom w:val="single" w:sz="4" w:space="0" w:color="DFE0E1"/>
              <w:right w:val="single" w:sz="18" w:space="0" w:color="FFFFFF"/>
            </w:tcBorders>
            <w:tcMar>
              <w:top w:w="50" w:type="dxa"/>
              <w:left w:w="60" w:type="dxa"/>
              <w:bottom w:w="50" w:type="dxa"/>
              <w:right w:w="60" w:type="dxa"/>
            </w:tcMar>
            <w:vAlign w:val="center"/>
          </w:tcPr>
          <w:p>
            <w:pPr>
              <w:spacing w:before="0" w:after="0"/>
              <w:jc w:val="center"/>
            </w:pPr>
            <w:r>
              <w:rPr>
                <w:rFonts w:ascii="Calibri" w:hAnsi="Calibri" w:eastAsia="Calibri" w:cs="Calibri"/>
                <w:b/>
                <w:i w:val="0"/>
                <w:color w:val="FFFFFF"/>
                <w:sz w:val="17"/>
              </w:rPr>
              <w:t xml:space="preserve">Strong</w:t>
            </w:r>
            <w:r>
              <w:rPr>
                <w:rFonts w:ascii="Calibri" w:hAnsi="Calibri" w:eastAsia="Calibri" w:cs="Calibri"/>
                <w:b w:val="0"/>
                <w:i/>
                <w:color w:val="6B6D70"/>
                <w:sz w:val="16"/>
              </w:rPr>
              <w:t xml:space="preserve"/>
            </w:r>
          </w:p>
        </w:tc>
      </w:tr>
      <w:tr>
        <w:trPr>
          <w:cantSplit/>
        </w:trPr>
        <w:tc>
          <w:tcPr>
            <w:tcW w:type="dxa" w:w="2608"/>
            <w:tcBorders>
              <w:bottom w:val="single" w:sz="4" w:space="0" w:color="DFE0E1"/>
            </w:tcBorders>
            <w:vAlign w:val="center"/>
            <w:tcMar>
              <w:top w:w="60" w:type="dxa"/>
              <w:left w:w="90" w:type="dxa"/>
              <w:bottom w:w="60" w:type="dxa"/>
              <w:right w:w="90" w:type="dxa"/>
            </w:tcMar>
          </w:tcPr>
          <w:p>
            <w:r>
              <w:rPr>
                <w:rFonts w:ascii="Calibri" w:hAnsi="Calibri" w:eastAsia="Calibri" w:cs="Calibri"/>
                <w:b/>
                <w:i w:val="0"/>
                <w:color w:val="2E3338"/>
                <w:sz w:val="17"/>
              </w:rPr>
              <w:t xml:space="preserve">Multi-entity group consolidation</w:t>
            </w:r>
          </w:p>
        </w:tc>
        <w:tc>
          <w:tcPr>
            <w:tcW w:type="dxa" w:w="5897"/>
            <w:tcBorders>
              <w:bottom w:val="single" w:sz="4" w:space="0" w:color="DFE0E1"/>
            </w:tcBorders>
            <w:vAlign w:val="center"/>
            <w:tcMar>
              <w:top w:w="60" w:type="dxa"/>
              <w:left w:w="90" w:type="dxa"/>
              <w:bottom w:w="60" w:type="dxa"/>
              <w:right w:w="90" w:type="dxa"/>
            </w:tcMar>
          </w:tcPr>
          <w:p>
            <w:r>
              <w:rPr>
                <w:rFonts w:ascii="Calibri" w:hAnsi="Calibri" w:eastAsia="Calibri" w:cs="Calibri"/>
                <w:b w:val="0"/>
                <w:i w:val="0"/>
                <w:sz w:val="17"/>
              </w:rPr>
              <w:t xml:space="preserve">Runs the monthly consolidation of eleven entities in the UK, Norway and the Netherlands.</w:t>
            </w:r>
          </w:p>
        </w:tc>
        <w:tc>
          <w:tcPr>
            <w:shd w:val="clear" w:color="auto" w:fill="2E3338"/>
            <w:tcW w:type="dxa" w:w="1247"/>
            <w:tcBorders>
              <w:top w:val="single" w:sz="18" w:space="0" w:color="FFFFFF"/>
              <w:left w:val="single" w:sz="18" w:space="0" w:color="FFFFFF"/>
              <w:bottom w:val="single" w:sz="4" w:space="0" w:color="DFE0E1"/>
              <w:right w:val="single" w:sz="18" w:space="0" w:color="FFFFFF"/>
            </w:tcBorders>
            <w:tcMar>
              <w:top w:w="50" w:type="dxa"/>
              <w:left w:w="60" w:type="dxa"/>
              <w:bottom w:w="50" w:type="dxa"/>
              <w:right w:w="60" w:type="dxa"/>
            </w:tcMar>
            <w:vAlign w:val="center"/>
          </w:tcPr>
          <w:p>
            <w:pPr>
              <w:spacing w:before="0" w:after="0"/>
              <w:jc w:val="center"/>
            </w:pPr>
            <w:r>
              <w:rPr>
                <w:rFonts w:ascii="Calibri" w:hAnsi="Calibri" w:eastAsia="Calibri" w:cs="Calibri"/>
                <w:b/>
                <w:i w:val="0"/>
                <w:color w:val="FFFFFF"/>
                <w:sz w:val="17"/>
              </w:rPr>
              <w:t xml:space="preserve">Strong</w:t>
            </w:r>
            <w:r>
              <w:rPr>
                <w:rFonts w:ascii="Calibri" w:hAnsi="Calibri" w:eastAsia="Calibri" w:cs="Calibri"/>
                <w:b w:val="0"/>
                <w:i/>
                <w:color w:val="6B6D70"/>
                <w:sz w:val="16"/>
              </w:rPr>
              <w:t xml:space="preserve"/>
            </w:r>
          </w:p>
        </w:tc>
      </w:tr>
      <w:tr>
        <w:trPr>
          <w:cantSplit/>
        </w:trPr>
        <w:tc>
          <w:tcPr>
            <w:tcW w:type="dxa" w:w="2608"/>
            <w:tcBorders>
              <w:bottom w:val="single" w:sz="4" w:space="0" w:color="DFE0E1"/>
            </w:tcBorders>
            <w:vAlign w:val="center"/>
            <w:tcMar>
              <w:top w:w="60" w:type="dxa"/>
              <w:left w:w="90" w:type="dxa"/>
              <w:bottom w:w="60" w:type="dxa"/>
              <w:right w:w="90" w:type="dxa"/>
            </w:tcMar>
          </w:tcPr>
          <w:p>
            <w:r>
              <w:rPr>
                <w:rFonts w:ascii="Calibri" w:hAnsi="Calibri" w:eastAsia="Calibri" w:cs="Calibri"/>
                <w:b/>
                <w:i w:val="0"/>
                <w:color w:val="2E3338"/>
                <w:sz w:val="17"/>
              </w:rPr>
              <w:t xml:space="preserve">Team leadership of ten or more</w:t>
            </w:r>
          </w:p>
        </w:tc>
        <w:tc>
          <w:tcPr>
            <w:tcW w:type="dxa" w:w="5897"/>
            <w:tcBorders>
              <w:bottom w:val="single" w:sz="4" w:space="0" w:color="DFE0E1"/>
            </w:tcBorders>
            <w:vAlign w:val="center"/>
            <w:tcMar>
              <w:top w:w="60" w:type="dxa"/>
              <w:left w:w="90" w:type="dxa"/>
              <w:bottom w:w="60" w:type="dxa"/>
              <w:right w:w="90" w:type="dxa"/>
            </w:tcMar>
          </w:tcPr>
          <w:p>
            <w:r>
              <w:rPr>
                <w:rFonts w:ascii="Calibri" w:hAnsi="Calibri" w:eastAsia="Calibri" w:cs="Calibri"/>
                <w:b w:val="0"/>
                <w:i w:val="0"/>
                <w:sz w:val="17"/>
              </w:rPr>
              <w:t xml:space="preserve">Leads fourteen people across reporting, tax and treasury, with two managers reporting to her.</w:t>
            </w:r>
          </w:p>
        </w:tc>
        <w:tc>
          <w:tcPr>
            <w:shd w:val="clear" w:color="auto" w:fill="5F6B77"/>
            <w:tcW w:type="dxa" w:w="1247"/>
            <w:tcBorders>
              <w:top w:val="single" w:sz="18" w:space="0" w:color="FFFFFF"/>
              <w:left w:val="single" w:sz="18" w:space="0" w:color="FFFFFF"/>
              <w:bottom w:val="single" w:sz="4" w:space="0" w:color="DFE0E1"/>
              <w:right w:val="single" w:sz="18" w:space="0" w:color="FFFFFF"/>
            </w:tcBorders>
            <w:tcMar>
              <w:top w:w="50" w:type="dxa"/>
              <w:left w:w="60" w:type="dxa"/>
              <w:bottom w:w="50" w:type="dxa"/>
              <w:right w:w="60" w:type="dxa"/>
            </w:tcMar>
            <w:vAlign w:val="center"/>
          </w:tcPr>
          <w:p>
            <w:pPr>
              <w:spacing w:before="0" w:after="0"/>
              <w:jc w:val="center"/>
            </w:pPr>
            <w:r>
              <w:rPr>
                <w:rFonts w:ascii="Calibri" w:hAnsi="Calibri" w:eastAsia="Calibri" w:cs="Calibri"/>
                <w:b/>
                <w:i w:val="0"/>
                <w:color w:val="FFFFFF"/>
                <w:sz w:val="17"/>
              </w:rPr>
              <w:t xml:space="preserve">Good</w:t>
            </w:r>
            <w:r>
              <w:rPr>
                <w:rFonts w:ascii="Calibri" w:hAnsi="Calibri" w:eastAsia="Calibri" w:cs="Calibri"/>
                <w:b w:val="0"/>
                <w:i/>
                <w:color w:val="6B6D70"/>
                <w:sz w:val="16"/>
              </w:rPr>
              <w:t xml:space="preserve"/>
            </w:r>
          </w:p>
        </w:tc>
      </w:tr>
      <w:tr>
        <w:trPr>
          <w:cantSplit/>
        </w:trPr>
        <w:tc>
          <w:tcPr>
            <w:tcW w:type="dxa" w:w="2608"/>
            <w:tcBorders>
              <w:bottom w:val="single" w:sz="4" w:space="0" w:color="DFE0E1"/>
            </w:tcBorders>
            <w:vAlign w:val="center"/>
            <w:tcMar>
              <w:top w:w="60" w:type="dxa"/>
              <w:left w:w="90" w:type="dxa"/>
              <w:bottom w:w="60" w:type="dxa"/>
              <w:right w:w="90" w:type="dxa"/>
            </w:tcMar>
          </w:tcPr>
          <w:p>
            <w:r>
              <w:rPr>
                <w:rFonts w:ascii="Calibri" w:hAnsi="Calibri" w:eastAsia="Calibri" w:cs="Calibri"/>
                <w:b/>
                <w:i w:val="0"/>
                <w:color w:val="2E3338"/>
                <w:sz w:val="17"/>
              </w:rPr>
              <w:t xml:space="preserve">IFRS and statutory reporting</w:t>
            </w:r>
          </w:p>
        </w:tc>
        <w:tc>
          <w:tcPr>
            <w:tcW w:type="dxa" w:w="5897"/>
            <w:tcBorders>
              <w:bottom w:val="single" w:sz="4" w:space="0" w:color="DFE0E1"/>
            </w:tcBorders>
            <w:vAlign w:val="center"/>
            <w:tcMar>
              <w:top w:w="60" w:type="dxa"/>
              <w:left w:w="90" w:type="dxa"/>
              <w:bottom w:w="60" w:type="dxa"/>
              <w:right w:w="90" w:type="dxa"/>
            </w:tcMar>
          </w:tcPr>
          <w:p>
            <w:r>
              <w:rPr>
                <w:rFonts w:ascii="Calibri" w:hAnsi="Calibri" w:eastAsia="Calibri" w:cs="Calibri"/>
                <w:b w:val="0"/>
                <w:i w:val="0"/>
                <w:sz w:val="17"/>
              </w:rPr>
              <w:t xml:space="preserve">Owns the IFRS group accounts and the annual audit; less exposure to US GAAP reporting.</w:t>
            </w:r>
          </w:p>
        </w:tc>
        <w:tc>
          <w:tcPr>
            <w:shd w:val="clear" w:color="auto" w:fill="5F6B77"/>
            <w:tcW w:type="dxa" w:w="1247"/>
            <w:tcBorders>
              <w:top w:val="single" w:sz="18" w:space="0" w:color="FFFFFF"/>
              <w:left w:val="single" w:sz="18" w:space="0" w:color="FFFFFF"/>
              <w:bottom w:val="single" w:sz="4" w:space="0" w:color="DFE0E1"/>
              <w:right w:val="single" w:sz="18" w:space="0" w:color="FFFFFF"/>
            </w:tcBorders>
            <w:tcMar>
              <w:top w:w="50" w:type="dxa"/>
              <w:left w:w="60" w:type="dxa"/>
              <w:bottom w:w="50" w:type="dxa"/>
              <w:right w:w="60" w:type="dxa"/>
            </w:tcMar>
            <w:vAlign w:val="center"/>
          </w:tcPr>
          <w:p>
            <w:pPr>
              <w:spacing w:before="0" w:after="0"/>
              <w:jc w:val="center"/>
            </w:pPr>
            <w:r>
              <w:rPr>
                <w:rFonts w:ascii="Calibri" w:hAnsi="Calibri" w:eastAsia="Calibri" w:cs="Calibri"/>
                <w:b/>
                <w:i w:val="0"/>
                <w:color w:val="FFFFFF"/>
                <w:sz w:val="17"/>
              </w:rPr>
              <w:t xml:space="preserve">Good</w:t>
            </w:r>
            <w:r>
              <w:rPr>
                <w:rFonts w:ascii="Calibri" w:hAnsi="Calibri" w:eastAsia="Calibri" w:cs="Calibri"/>
                <w:b w:val="0"/>
                <w:i/>
                <w:color w:val="6B6D70"/>
                <w:sz w:val="16"/>
              </w:rPr>
              <w:t xml:space="preserve"/>
            </w:r>
          </w:p>
        </w:tc>
      </w:tr>
      <w:tr>
        <w:trPr>
          <w:cantSplit/>
        </w:trPr>
        <w:tc>
          <w:tcPr>
            <w:tcW w:type="dxa" w:w="2608"/>
            <w:tcBorders>
              <w:bottom w:val="single" w:sz="4" w:space="0" w:color="DFE0E1"/>
            </w:tcBorders>
            <w:vAlign w:val="center"/>
            <w:tcMar>
              <w:top w:w="60" w:type="dxa"/>
              <w:left w:w="90" w:type="dxa"/>
              <w:bottom w:w="60" w:type="dxa"/>
              <w:right w:w="90" w:type="dxa"/>
            </w:tcMar>
          </w:tcPr>
          <w:p>
            <w:r>
              <w:rPr>
                <w:rFonts w:ascii="Calibri" w:hAnsi="Calibri" w:eastAsia="Calibri" w:cs="Calibri"/>
                <w:b/>
                <w:i w:val="0"/>
                <w:color w:val="2E3338"/>
                <w:sz w:val="17"/>
              </w:rPr>
              <w:t xml:space="preserve">Refinancing or lender reporting</w:t>
            </w:r>
          </w:p>
        </w:tc>
        <w:tc>
          <w:tcPr>
            <w:tcW w:type="dxa" w:w="5897"/>
            <w:tcBorders>
              <w:bottom w:val="single" w:sz="4" w:space="0" w:color="DFE0E1"/>
            </w:tcBorders>
            <w:vAlign w:val="center"/>
            <w:tcMar>
              <w:top w:w="60" w:type="dxa"/>
              <w:left w:w="90" w:type="dxa"/>
              <w:bottom w:w="60" w:type="dxa"/>
              <w:right w:w="90" w:type="dxa"/>
            </w:tcMar>
          </w:tcPr>
          <w:p>
            <w:r>
              <w:rPr>
                <w:rFonts w:ascii="Calibri" w:hAnsi="Calibri" w:eastAsia="Calibri" w:cs="Calibri"/>
                <w:b w:val="0"/>
                <w:i w:val="0"/>
                <w:sz w:val="17"/>
              </w:rPr>
              <w:t xml:space="preserve">Supported the CFO on lender covenants but has not led a refinancing herself.</w:t>
            </w:r>
          </w:p>
        </w:tc>
        <w:tc>
          <w:tcPr>
            <w:shd w:val="clear" w:color="auto" w:fill="6B6D70"/>
            <w:tcW w:type="dxa" w:w="1247"/>
            <w:tcBorders>
              <w:top w:val="single" w:sz="18" w:space="0" w:color="FFFFFF"/>
              <w:left w:val="single" w:sz="18" w:space="0" w:color="FFFFFF"/>
              <w:bottom w:val="single" w:sz="4" w:space="0" w:color="DFE0E1"/>
              <w:right w:val="single" w:sz="18" w:space="0" w:color="FFFFFF"/>
            </w:tcBorders>
            <w:tcMar>
              <w:top w:w="50" w:type="dxa"/>
              <w:left w:w="60" w:type="dxa"/>
              <w:bottom w:w="50" w:type="dxa"/>
              <w:right w:w="60" w:type="dxa"/>
            </w:tcMar>
            <w:vAlign w:val="center"/>
          </w:tcPr>
          <w:p>
            <w:pPr>
              <w:spacing w:before="0" w:after="0"/>
              <w:jc w:val="center"/>
            </w:pPr>
            <w:r>
              <w:rPr>
                <w:rFonts w:ascii="Calibri" w:hAnsi="Calibri" w:eastAsia="Calibri" w:cs="Calibri"/>
                <w:b/>
                <w:i w:val="0"/>
                <w:color w:val="FFFFFF"/>
                <w:sz w:val="17"/>
              </w:rPr>
              <w:t xml:space="preserve">Partial</w:t>
            </w:r>
            <w:r>
              <w:rPr>
                <w:rFonts w:ascii="Calibri" w:hAnsi="Calibri" w:eastAsia="Calibri" w:cs="Calibri"/>
                <w:b w:val="0"/>
                <w:i/>
                <w:color w:val="6B6D70"/>
                <w:sz w:val="16"/>
              </w:rPr>
              <w:t xml:space="preserve"/>
            </w:r>
          </w:p>
        </w:tc>
      </w:tr>
    </w:tbl>
    <w:p>
      <w:pPr>
        <w:spacing w:before="60" w:after="0"/>
      </w:pPr>
      <w:r>
        <w:rPr>
          <w:rFonts w:ascii="Calibri" w:hAnsi="Calibri" w:eastAsia="Calibri" w:cs="Calibri"/>
          <w:b w:val="0"/>
          <w:i w:val="0"/>
          <w:color w:val="6B6D70"/>
          <w:sz w:val="15"/>
        </w:rPr>
        <w:t>Match:  Strong  ·  Good  ·  Partial  ·  Gap  ·  To assess (not yet covered at interview)</w:t>
      </w:r>
    </w:p>
    <w:p>
      <w:pPr>
        <w:keepNext/>
        <w:spacing w:before="240" w:after="100"/>
        <w:pBdr>
          <w:bottom w:val="single" w:sz="6" w:space="4" w:color="DFE0E1"/>
        </w:pBdr>
      </w:pPr>
      <w:r>
        <w:rPr>
          <w:rFonts w:ascii="Cambria" w:hAnsi="Cambria" w:eastAsia="Cambria" w:cs="Cambria"/>
          <w:b w:val="0"/>
          <w:i w:val="0"/>
          <w:color w:val="2E3338"/>
          <w:sz w:val="24"/>
        </w:rPr>
        <w:t>Compensation and notice</w:t>
      </w:r>
    </w:p>
    <w:tbl>
      <w:tblPr>
        <w:tblLook w:firstColumn="1" w:firstRow="1" w:lastColumn="0" w:lastRow="0" w:noHBand="0" w:noVBand="1" w:val="04A0"/>
        <w:tblW w:w="9752" w:type="dxa"/>
        <w:jc w:val="left"/>
        <w:tblInd w:w="220" w:type="dxa"/>
        <w:tblLayout w:type="fixed"/>
        <w:tblBorders>
          <w:top w:val="nil"/>
          <w:left w:val="nil"/>
          <w:bottom w:val="nil"/>
          <w:right w:val="nil"/>
          <w:insideH w:val="nil"/>
          <w:insideV w:val="nil"/>
        </w:tblBorders>
        <w:tblCellMar>
          <w:top w:w="0" w:type="dxa"/>
          <w:left w:w="0" w:type="dxa"/>
          <w:bottom w:w="0" w:type="dxa"/>
          <w:right w:w="0" w:type="dxa"/>
        </w:tblCellMar>
      </w:tblPr>
      <w:tblGrid>
        <w:gridCol w:w="4876"/>
        <w:gridCol w:w="4876"/>
      </w:tblGrid>
      <w:tr>
        <w:tc>
          <w:tcPr>
            <w:tcW w:type="dxa" w:w="9752"/>
            <w:shd w:val="clear" w:color="auto" w:fill="F1F2F3"/>
            <w:tcMar>
              <w:top w:w="90" w:type="dxa"/>
              <w:left w:w="220" w:type="dxa"/>
              <w:bottom w:w="100" w:type="dxa"/>
              <w:right w:w="220" w:type="dxa"/>
            </w:tcMar>
          </w:tcPr>
          <w:p>
            <w:pPr>
              <w:spacing w:before="0" w:after="40"/>
            </w:pPr>
            <w:r>
              <w:rPr>
                <w:rFonts w:ascii="Calibri" w:hAnsi="Calibri" w:eastAsia="Calibri" w:cs="Calibri"/>
                <w:b w:val="0"/>
                <w:i/>
                <w:color w:val="6B6D70"/>
                <w:sz w:val="15"/>
              </w:rPr>
              <w:t>As stated by the candidate</w:t>
            </w:r>
          </w:p>
          <w:tbl>
            <w:tblPr>
              <w:tblLook w:firstColumn="1" w:firstRow="1" w:lastColumn="0" w:lastRow="0" w:noHBand="0" w:noVBand="1" w:val="04A0"/>
              <w:tblW w:w="931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381"/>
              <w:gridCol w:w="6931"/>
            </w:tblGrid>
            <w:tr>
              <w:tc>
                <w:tcPr>
                  <w:tcW w:type="dxa" w:w="2381"/>
                  <w:tcMar>
                    <w:top w:w="30" w:type="dxa"/>
                    <w:left w:w="0" w:type="dxa"/>
                    <w:bottom w:w="30" w:type="dxa"/>
                    <w:right w:w="0" w:type="dxa"/>
                  </w:tcMar>
                </w:tcPr>
                <w:p>
                  <w:r>
                    <w:rPr>
                      <w:rFonts w:ascii="Calibri" w:hAnsi="Calibri" w:eastAsia="Calibri" w:cs="Calibri"/>
                      <w:b w:val="0"/>
                      <w:i w:val="0"/>
                      <w:color w:val="6B6D70"/>
                      <w:sz w:val="17"/>
                    </w:rPr>
                    <w:t xml:space="preserve">Current package</w:t>
                  </w:r>
                </w:p>
              </w:tc>
              <w:tc>
                <w:tcPr>
                  <w:tcW w:type="dxa" w:w="6931"/>
                  <w:tcMar>
                    <w:top w:w="30" w:type="dxa"/>
                    <w:left w:w="0" w:type="dxa"/>
                    <w:bottom w:w="30" w:type="dxa"/>
                    <w:right w:w="0" w:type="dxa"/>
                  </w:tcMar>
                </w:tcPr>
                <w:p>
                  <w:r>
                    <w:rPr>
                      <w:rFonts w:ascii="Calibri" w:hAnsi="Calibri" w:eastAsia="Calibri" w:cs="Calibri"/>
                      <w:b/>
                      <w:i w:val="0"/>
                      <w:color w:val="2E3338"/>
                      <w:sz w:val="18"/>
                    </w:rPr>
                    <w:t xml:space="preserve">£98,000 base + 15% bonus + car allowance</w:t>
                  </w:r>
                </w:p>
              </w:tc>
            </w:tr>
            <w:tr>
              <w:tc>
                <w:tcPr>
                  <w:tcW w:type="dxa" w:w="2381"/>
                  <w:tcMar>
                    <w:top w:w="30" w:type="dxa"/>
                    <w:left w:w="0" w:type="dxa"/>
                    <w:bottom w:w="30" w:type="dxa"/>
                    <w:right w:w="0" w:type="dxa"/>
                  </w:tcMar>
                </w:tcPr>
                <w:p>
                  <w:r>
                    <w:rPr>
                      <w:rFonts w:ascii="Calibri" w:hAnsi="Calibri" w:eastAsia="Calibri" w:cs="Calibri"/>
                      <w:b w:val="0"/>
                      <w:i w:val="0"/>
                      <w:color w:val="6B6D70"/>
                      <w:sz w:val="17"/>
                    </w:rPr>
                    <w:t xml:space="preserve">Expectation</w:t>
                  </w:r>
                </w:p>
              </w:tc>
              <w:tc>
                <w:tcPr>
                  <w:tcW w:type="dxa" w:w="6931"/>
                  <w:tcMar>
                    <w:top w:w="30" w:type="dxa"/>
                    <w:left w:w="0" w:type="dxa"/>
                    <w:bottom w:w="30" w:type="dxa"/>
                    <w:right w:w="0" w:type="dxa"/>
                  </w:tcMar>
                </w:tcPr>
                <w:p>
                  <w:r>
                    <w:rPr>
                      <w:rFonts w:ascii="Calibri" w:hAnsi="Calibri" w:eastAsia="Calibri" w:cs="Calibri"/>
                      <w:b/>
                      <w:i w:val="0"/>
                      <w:color w:val="2E3338"/>
                      <w:sz w:val="18"/>
                    </w:rPr>
                    <w:t xml:space="preserve">£110,000 – £115,000 base</w:t>
                  </w:r>
                </w:p>
              </w:tc>
            </w:tr>
            <w:tr>
              <w:tc>
                <w:tcPr>
                  <w:tcW w:type="dxa" w:w="2381"/>
                  <w:tcMar>
                    <w:top w:w="30" w:type="dxa"/>
                    <w:left w:w="0" w:type="dxa"/>
                    <w:bottom w:w="30" w:type="dxa"/>
                    <w:right w:w="0" w:type="dxa"/>
                  </w:tcMar>
                </w:tcPr>
                <w:p>
                  <w:r>
                    <w:rPr>
                      <w:rFonts w:ascii="Calibri" w:hAnsi="Calibri" w:eastAsia="Calibri" w:cs="Calibri"/>
                      <w:b w:val="0"/>
                      <w:i w:val="0"/>
                      <w:color w:val="6B6D70"/>
                      <w:sz w:val="17"/>
                    </w:rPr>
                    <w:t xml:space="preserve">Notice period</w:t>
                  </w:r>
                </w:p>
              </w:tc>
              <w:tc>
                <w:tcPr>
                  <w:tcW w:type="dxa" w:w="6931"/>
                  <w:tcMar>
                    <w:top w:w="30" w:type="dxa"/>
                    <w:left w:w="0" w:type="dxa"/>
                    <w:bottom w:w="30" w:type="dxa"/>
                    <w:right w:w="0" w:type="dxa"/>
                  </w:tcMar>
                </w:tcPr>
                <w:p>
                  <w:r>
                    <w:rPr>
                      <w:rFonts w:ascii="Calibri" w:hAnsi="Calibri" w:eastAsia="Calibri" w:cs="Calibri"/>
                      <w:b/>
                      <w:i w:val="0"/>
                      <w:color w:val="2E3338"/>
                      <w:sz w:val="18"/>
                    </w:rPr>
                    <w:t xml:space="preserve">3 months</w:t>
                  </w:r>
                </w:p>
              </w:tc>
            </w:tr>
            <w:tr>
              <w:tc>
                <w:tcPr>
                  <w:tcW w:type="dxa" w:w="2381"/>
                  <w:tcMar>
                    <w:top w:w="30" w:type="dxa"/>
                    <w:left w:w="0" w:type="dxa"/>
                    <w:bottom w:w="30" w:type="dxa"/>
                    <w:right w:w="0" w:type="dxa"/>
                  </w:tcMar>
                </w:tcPr>
                <w:p>
                  <w:r>
                    <w:rPr>
                      <w:rFonts w:ascii="Calibri" w:hAnsi="Calibri" w:eastAsia="Calibri" w:cs="Calibri"/>
                      <w:b w:val="0"/>
                      <w:i w:val="0"/>
                      <w:color w:val="6B6D70"/>
                      <w:sz w:val="17"/>
                    </w:rPr>
                    <w:t xml:space="preserve">Other processes</w:t>
                  </w:r>
                </w:p>
              </w:tc>
              <w:tc>
                <w:tcPr>
                  <w:tcW w:type="dxa" w:w="6931"/>
                  <w:tcMar>
                    <w:top w:w="30" w:type="dxa"/>
                    <w:left w:w="0" w:type="dxa"/>
                    <w:bottom w:w="30" w:type="dxa"/>
                    <w:right w:w="0" w:type="dxa"/>
                  </w:tcMar>
                </w:tcPr>
                <w:p>
                  <w:r>
                    <w:rPr>
                      <w:rFonts w:ascii="Calibri" w:hAnsi="Calibri" w:eastAsia="Calibri" w:cs="Calibri"/>
                      <w:b/>
                      <w:i w:val="0"/>
                      <w:color w:val="2E3338"/>
                      <w:sz w:val="18"/>
                    </w:rPr>
                    <w:t xml:space="preserve">One, at second stage with a listed utility</w:t>
                  </w:r>
                </w:p>
              </w:tc>
            </w:tr>
          </w:tbl>
          <w:p/>
          <w:p>
            <w:pPr>
              <w:spacing w:before="0" w:after="0" w:line="2" w:lineRule="exact"/>
            </w:pPr>
            <w:r>
              <w:rPr>
                <w:rFonts w:ascii="Calibri" w:hAnsi="Calibri" w:eastAsia="Calibri" w:cs="Calibri"/>
                <w:b w:val="0"/>
                <w:i w:val="0"/>
                <w:sz w:val="2"/>
              </w:rPr>
            </w:r>
          </w:p>
        </w:tc>
      </w:tr>
    </w:tbl>
    <w:p>
      <w:pPr>
        <w:keepNext/>
        <w:spacing w:before="240" w:after="100"/>
        <w:pBdr>
          <w:bottom w:val="single" w:sz="6" w:space="4" w:color="DFE0E1"/>
        </w:pBdr>
      </w:pPr>
      <w:r>
        <w:rPr>
          <w:rFonts w:ascii="Cambria" w:hAnsi="Cambria" w:eastAsia="Cambria" w:cs="Cambria"/>
          <w:b w:val="0"/>
          <w:i w:val="0"/>
          <w:color w:val="2E3338"/>
          <w:sz w:val="24"/>
        </w:rPr>
        <w:t>Consultant’s view</w:t>
      </w:r>
    </w:p>
    <w:tbl>
      <w:tblPr>
        <w:tblLook w:firstColumn="1" w:firstRow="1" w:lastColumn="0" w:lastRow="0" w:noHBand="0" w:noVBand="1" w:val="04A0"/>
        <w:tblW w:w="975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7144"/>
        <w:gridCol w:w="227"/>
        <w:gridCol w:w="2381"/>
      </w:tblGrid>
      <w:tr>
        <w:trPr>
          <w:cantSplit/>
        </w:trPr>
        <w:tc>
          <w:tcPr>
            <w:tcW w:type="dxa" w:w="7144"/>
            <w:vAlign w:val="top"/>
            <w:tcBorders>
              <w:left w:val="single" w:sz="24" w:space="0" w:color="5F6B77"/>
            </w:tcBorders>
            <w:tcMar>
              <w:top w:w="20" w:type="dxa"/>
              <w:left w:w="200" w:type="dxa"/>
              <w:bottom w:w="20" w:type="dxa"/>
              <w:right w:w="60" w:type="dxa"/>
            </w:tcMar>
          </w:tcPr>
          <w:p>
            <w:pPr>
              <w:spacing w:before="0" w:after="0"/>
              <w:jc w:val="both"/>
            </w:pPr>
            <w:r>
              <w:rPr>
                <w:rFonts w:ascii="Calibri" w:hAnsi="Calibri" w:eastAsia="Calibri" w:cs="Calibri"/>
                <w:b w:val="0"/>
                <w:i/>
                <w:sz w:val="19"/>
              </w:rPr>
              <w:t xml:space="preserve">Eleanor is a composed, well-organised controller with exactly the consolidation depth the brief asks for. She was specific about her results and candid about the gaps, notably a refinancing she has supported rather than led. She would be a strong cultural fit with the CFO's style and is likely to move quickly if the process does.</w:t>
            </w:r>
          </w:p>
        </w:tc>
        <w:tc>
          <w:tcPr>
            <w:tcW w:type="dxa" w:w="227"/>
          </w:tcPr>
          <w:p/>
        </w:tc>
        <w:tc>
          <w:tcPr>
            <w:shd w:val="clear" w:color="auto" w:fill="2E3338"/>
            <w:tcW w:type="dxa" w:w="2381"/>
            <w:vAlign w:val="center"/>
            <w:tcMar>
              <w:top w:w="120" w:type="dxa"/>
              <w:left w:w="180" w:type="dxa"/>
              <w:bottom w:w="130" w:type="dxa"/>
              <w:right w:w="180" w:type="dxa"/>
            </w:tcMar>
          </w:tcPr>
          <w:p>
            <w:pPr>
              <w:spacing w:before="0" w:after="40"/>
              <w:jc w:val="center"/>
            </w:pPr>
            <w:r>
              <w:rPr>
                <w:rFonts w:ascii="Calibri" w:hAnsi="Calibri" w:eastAsia="Calibri" w:cs="Calibri"/>
                <w:b w:val="0"/>
                <w:i w:val="0"/>
                <w:sz w:val="2"/>
              </w:rPr>
              <w:t xml:space="preserve"/>
            </w:r>
            <w:r>
              <w:rPr>
                <w:rFonts w:ascii="Calibri" w:hAnsi="Calibri" w:eastAsia="Calibri" w:cs="Calibri"/>
                <w:b/>
                <w:i w:val="0"/>
                <w:caps/>
                <w:color w:val="FFFFFF"/>
                <w:sz w:val="14"/>
                <w:spacing w:val="30"/>
              </w:rPr>
              <w:t>Recommendation</w:t>
            </w:r>
            <w:r>
              <w:rPr>
                <w:rFonts w:ascii="Calibri" w:hAnsi="Calibri" w:eastAsia="Calibri" w:cs="Calibri"/>
                <w:b w:val="0"/>
                <w:i w:val="0"/>
                <w:sz w:val="2"/>
              </w:rPr>
              <w:t xml:space="preserve"/>
            </w:r>
          </w:p>
          <w:p>
            <w:pPr>
              <w:spacing w:before="0" w:after="0"/>
              <w:jc w:val="center"/>
            </w:pPr>
            <w:r>
              <w:rPr>
                <w:rFonts w:ascii="Cambria" w:hAnsi="Cambria" w:eastAsia="Cambria" w:cs="Cambria"/>
                <w:b/>
                <w:i w:val="0"/>
                <w:color w:val="FFFFFF"/>
                <w:sz w:val="24"/>
              </w:rPr>
              <w:t xml:space="preserve">Submit to client</w:t>
            </w:r>
            <w:r>
              <w:rPr>
                <w:rFonts w:ascii="Cambria" w:hAnsi="Cambria" w:eastAsia="Cambria" w:cs="Cambria"/>
                <w:b w:val="0"/>
                <w:i/>
                <w:color w:val="6B6D70"/>
                <w:sz w:val="20"/>
              </w:rPr>
              <w:t xml:space="preserve"/>
            </w:r>
          </w:p>
        </w:tc>
      </w:tr>
    </w:tbl>
    <w:p>
      <w:pPr>
        <w:spacing w:before="0" w:after="0" w:line="200" w:lineRule="exact"/>
      </w:pPr>
      <w:r>
        <w:rPr>
          <w:rFonts w:ascii="Calibri" w:hAnsi="Calibri" w:eastAsia="Calibri" w:cs="Calibri"/>
          <w:b w:val="0"/>
          <w:i w:val="0"/>
          <w:sz w:val="2"/>
        </w:rPr>
      </w:r>
    </w:p>
    <w:tbl>
      <w:tblPr>
        <w:tblLook w:firstColumn="1" w:firstRow="1" w:lastColumn="0" w:lastRow="0" w:noHBand="0" w:noVBand="1" w:val="04A0"/>
        <w:tblW w:w="975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706"/>
        <w:gridCol w:w="340"/>
        <w:gridCol w:w="4706"/>
      </w:tblGrid>
      <w:tr>
        <w:tc>
          <w:tcPr>
            <w:tcW w:type="dxa" w:w="4706"/>
            <w:vAlign w:val="top"/>
          </w:tcPr>
          <w:p>
            <w:pPr>
              <w:keepNext/>
              <w:spacing w:before="0" w:after="60"/>
            </w:pPr>
            <w:r>
              <w:rPr>
                <w:rFonts w:ascii="Calibri" w:hAnsi="Calibri" w:eastAsia="Calibri" w:cs="Calibri"/>
                <w:b/>
                <w:i w:val="0"/>
                <w:caps/>
                <w:color w:val="5F6B77"/>
                <w:sz w:val="15"/>
                <w:spacing w:val="30"/>
              </w:rPr>
              <w:t>Risks and points to check</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A counter-offer is likely while the business is being prepared for sale</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The other process is further ahead and could close first</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Expectation sits at the top of the client's stated range</w:t>
            </w:r>
          </w:p>
          <w:p>
            <w:pPr>
              <w:spacing w:before="0" w:after="0" w:line="2" w:lineRule="exact"/>
            </w:pPr>
            <w:r>
              <w:rPr>
                <w:rFonts w:ascii="Calibri" w:hAnsi="Calibri" w:eastAsia="Calibri" w:cs="Calibri"/>
                <w:b w:val="0"/>
                <w:i w:val="0"/>
                <w:sz w:val="2"/>
              </w:rPr>
            </w:r>
          </w:p>
        </w:tc>
        <w:tc>
          <w:tcPr>
            <w:tcW w:type="dxa" w:w="340"/>
          </w:tcPr>
          <w:p/>
        </w:tc>
        <w:tc>
          <w:tcPr>
            <w:tcW w:type="dxa" w:w="4706"/>
            <w:vAlign w:val="top"/>
          </w:tcPr>
          <w:p>
            <w:pPr>
              <w:keepNext/>
              <w:spacing w:before="0" w:after="60"/>
            </w:pPr>
            <w:r>
              <w:rPr>
                <w:rFonts w:ascii="Calibri" w:hAnsi="Calibri" w:eastAsia="Calibri" w:cs="Calibri"/>
                <w:b/>
                <w:i w:val="0"/>
                <w:caps/>
                <w:color w:val="5F6B77"/>
                <w:sz w:val="15"/>
                <w:spacing w:val="30"/>
              </w:rPr>
              <w:t>Next steps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Send the CV and this report to the CFO by 14 October</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Take two references once a first interview is agreed</w:t>
            </w:r>
          </w:p>
          <w:p>
            <w:pPr>
              <w:spacing w:before="0" w:after="0" w:line="2" w:lineRule="exact"/>
            </w:pPr>
            <w:r>
              <w:rPr>
                <w:rFonts w:ascii="Calibri" w:hAnsi="Calibri" w:eastAsia="Calibri" w:cs="Calibri"/>
                <w:b w:val="0"/>
                <w:i w:val="0"/>
                <w:sz w:val="2"/>
              </w:rPr>
            </w:r>
          </w:p>
        </w:tc>
      </w:tr>
    </w:tbl>
    <w:p>
      <w:pPr>
        <w:spacing w:before="200" w:after="0"/>
        <w:pBdr>
          <w:top w:val="single" w:sz="6" w:space="5" w:color="DFE0E1"/>
        </w:pBdr>
      </w:pPr>
      <w:r>
        <w:rPr>
          <w:rFonts w:ascii="Calibri" w:hAnsi="Calibri" w:eastAsia="Calibri" w:cs="Calibri"/>
          <w:b w:val="0"/>
          <w:i w:val="0"/>
          <w:color w:val="6B6D70"/>
          <w:sz w:val="16"/>
        </w:rPr>
        <w:t xml:space="preserve">Report written 13 October 2026</w:t>
      </w:r>
    </w:p>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tbl>
      <w:tblPr>
        <w:tblLook w:firstColumn="1" w:firstRow="1" w:lastColumn="0" w:lastRow="0" w:noHBand="0" w:noVBand="1" w:val="04A0"/>
        <w:tblW w:w="975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324"/>
        <w:gridCol w:w="7428"/>
      </w:tblGrid>
      <w:tr>
        <w:tc>
          <w:tcPr>
            <w:tcW w:type="dxa" w:w="2324"/>
            <w:vAlign w:val="center"/>
            <w:tcMar>
              <w:top w:w="0" w:type="dxa"/>
              <w:left w:w="0" w:type="dxa"/>
              <w:bottom w:w="0" w:type="dxa"/>
              <w:right w:w="200" w:type="dxa"/>
            </w:tcMar>
          </w:tcPr>
          <w:p>
            <w:pPr>
              <w:spacing w:before="0" w:after="0" w:line="240" w:lineRule="auto"/>
              <w:jc w:val="left"/>
              <w:rPr>
                <w:sz w:val="2"/>
              </w:rPr>
            </w:pPr>
            <w:r>
              <w:drawing>
                <wp:inline distT="0" distB="0" distL="0" distR="0">
                  <wp:extent cx="1296000" cy="1080000"/>
                  <wp:effectExtent l="0" t="0" r="0" b="0"/>
                  <wp:docPr id="1003" name="Candidate photo frame 7701"/>
                  <wp:cNvGraphicFramePr/>
                  <a:graphic xmlns:a="http://schemas.openxmlformats.org/drawingml/2006/main">
                    <a:graphicData uri="http://schemas.microsoft.com/office/word/2010/wordprocessingShape">
                      <wps:wsp>
                        <wps:cNvSpPr txBox="1"/>
                        <wps:spPr>
                          <a:xfrm>
                            <a:off x="0" y="0"/>
                            <a:ext cx="1296000" cy="1080000"/>
                          </a:xfrm>
                          <a:prstGeom prst="rect">
                            <a:avLst/>
                          </a:prstGeom>
                          <a:noFill/>
                          <a:ln>
                            <a:noFill/>
                          </a:ln>
                        </wps:spPr>
                        <wps:txbx>
                          <w:txbxContent>
                            <w:p>
                              <w:pPr>
                                <w:spacing w:before="0" w:after="0" w:line="240" w:lineRule="auto"/>
                                <w:jc w:val="left"/>
                                <w:rPr>
                                  <w:sz w:val="2"/>
                                </w:rPr>
                              </w:pPr>
                              <w:r>
                                <w:rPr>
                                  <w:sz w:val="2"/>
                                </w:rPr>
                                <w:t xml:space="preserve"/>
                              </w:r>
                              <w:r>
                                <w:drawing>
                                  <wp:inline xmlns:pic="http://schemas.openxmlformats.org/drawingml/2006/picture">
                                    <wp:extent cx="1080000" cy="1080000"/>
                                    <wp:docPr id="1004" name="Picture 7702"/>
                                    <wp:cNvGraphicFramePr>
                                      <a:graphicFrameLocks noChangeAspect="1"/>
                                    </wp:cNvGraphicFramePr>
                                    <a:graphic>
                                      <a:graphicData uri="http://schemas.openxmlformats.org/drawingml/2006/picture">
                                        <pic:pic>
                                          <pic:nvPicPr>
                                            <pic:cNvPr id="0" name="alexandra-kerr.jpg"/>
                                            <pic:cNvPicPr/>
                                          </pic:nvPicPr>
                                          <pic:blipFill>
                                            <a:blip r:embed="rId12"/>
                                            <a:stretch>
                                              <a:fillRect/>
                                            </a:stretch>
                                          </pic:blipFill>
                                          <pic:spPr>
                                            <a:xfrm>
                                              <a:off x="0" y="0"/>
                                              <a:ext cx="1080000" cy="1080000"/>
                                            </a:xfrm>
                                            <a:prstGeom prst="rect"/>
                                          </pic:spPr>
                                        </pic:pic>
                                      </a:graphicData>
                                    </a:graphic>
                                  </wp:inline>
                                </w:drawing>
                              </w:r>
                              <w:r>
                                <w:t xml:space="preserve"/>
                              </w:r>
                            </w:p>
                          </w:txbxContent>
                        </wps:txbx>
                        <wps:bodyPr rot="0" vert="horz" wrap="square" lIns="0" tIns="0" rIns="0" bIns="0" anchor="t" anchorCtr="0">
                          <a:noAutofit/>
                        </wps:bodyPr>
                      </wps:wsp>
                    </a:graphicData>
                  </a:graphic>
                </wp:inline>
              </w:drawing>
            </w:r>
          </w:p>
        </w:tc>
        <w:tc>
          <w:tcPr>
            <w:tcW w:type="dxa" w:w="7428"/>
            <w:vAlign w:val="center"/>
            <w:tcMar>
              <w:top w:w="0" w:type="dxa"/>
              <w:left w:w="200" w:type="dxa"/>
              <w:bottom w:w="0" w:type="dxa"/>
              <w:right w:w="0" w:type="dxa"/>
            </w:tcMar>
          </w:tcPr>
          <w:p>
            <w:pPr>
              <w:spacing w:before="0" w:after="40"/>
            </w:pPr>
            <w:r>
              <w:rPr>
                <w:rFonts w:ascii="Calibri" w:hAnsi="Calibri" w:eastAsia="Calibri" w:cs="Calibri"/>
                <w:b/>
                <w:i w:val="0"/>
                <w:caps/>
                <w:color w:val="5F6B77"/>
                <w:sz w:val="15"/>
                <w:spacing w:val="30"/>
              </w:rPr>
              <w:t>Candidate report</w:t>
            </w:r>
          </w:p>
          <w:p>
            <w:pPr>
              <w:spacing w:before="0" w:after="40"/>
            </w:pPr>
            <w:r>
              <w:rPr>
                <w:rFonts w:ascii="Cambria" w:hAnsi="Cambria" w:eastAsia="Cambria" w:cs="Cambria"/>
                <w:b w:val="0"/>
                <w:i w:val="0"/>
                <w:color w:val="2E3338"/>
                <w:sz w:val="46"/>
              </w:rPr>
              <w:t xml:space="preserve">Alexandra Kerr</w:t>
            </w:r>
          </w:p>
          <w:p>
            <w:pPr>
              <w:spacing w:before="0" w:after="40"/>
            </w:pPr>
            <w:r>
              <w:rPr>
                <w:rFonts w:ascii="Calibri" w:hAnsi="Calibri" w:eastAsia="Calibri" w:cs="Calibri"/>
                <w:b/>
                <w:i w:val="0"/>
                <w:color w:val="5F6B77"/>
                <w:sz w:val="21"/>
              </w:rPr>
              <w:t xml:space="preserve">Head of Group Reporting</w:t>
            </w:r>
            <w:r>
              <w:rPr>
                <w:rFonts w:ascii="Calibri" w:hAnsi="Calibri" w:eastAsia="Calibri" w:cs="Calibri"/>
                <w:b w:val="0"/>
                <w:i w:val="0"/>
                <w:color w:val="6B6D70"/>
                <w:sz w:val="20"/>
              </w:rPr>
              <w:t xml:space="preserve">   ·   Stratton Rail &amp; Freight</w:t>
            </w:r>
          </w:p>
          <w:p>
            <w:pPr>
              <w:spacing w:before="0" w:after="0"/>
            </w:pPr>
            <w:r>
              <w:rPr>
                <w:rFonts w:ascii="Calibri" w:hAnsi="Calibri" w:eastAsia="Calibri" w:cs="Calibri"/>
                <w:b w:val="0"/>
                <w:i w:val="0"/>
                <w:color w:val="6B6D70"/>
                <w:sz w:val="18"/>
              </w:rPr>
              <w:t xml:space="preserve">Birmingham, UK</w:t>
            </w:r>
          </w:p>
        </w:tc>
      </w:tr>
    </w:tbl>
    <w:p>
      <w:pPr>
        <w:spacing w:before="0" w:after="0" w:line="160" w:lineRule="exact"/>
      </w:pPr>
      <w:r>
        <w:rPr>
          <w:rFonts w:ascii="Calibri" w:hAnsi="Calibri" w:eastAsia="Calibri" w:cs="Calibri"/>
          <w:b w:val="0"/>
          <w:i w:val="0"/>
          <w:sz w:val="2"/>
        </w:rPr>
      </w:r>
    </w:p>
    <w:tbl>
      <w:tblPr>
        <w:tblLook w:firstColumn="1" w:firstRow="1" w:lastColumn="0" w:lastRow="0" w:noHBand="0" w:noVBand="1" w:val="04A0"/>
        <w:tblW w:w="9753"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291"/>
        <w:gridCol w:w="2536"/>
        <w:gridCol w:w="2926"/>
      </w:tblGrid>
      <w:tr>
        <w:trPr>
          <w:cantSplit/>
        </w:trPr>
        <w:tc>
          <w:tcPr>
            <w:tcW w:type="dxa" w:w="4291"/>
            <w:shd w:val="clear" w:color="auto" w:fill="F2F3F3"/>
            <w:tcBorders>
              <w:top w:val="single" w:sz="12" w:space="0" w:color="2E3338"/>
            </w:tcBorders>
            <w:tcMar>
              <w:top w:w="100" w:type="dxa"/>
              <w:left w:w="160" w:type="dxa"/>
              <w:bottom w:w="110" w:type="dxa"/>
              <w:right w:w="140" w:type="dxa"/>
            </w:tcMar>
            <w:vAlign w:val="top"/>
          </w:tcPr>
          <w:p>
            <w:pPr>
              <w:spacing w:before="0" w:after="40"/>
            </w:pPr>
            <w:r>
              <w:rPr>
                <w:rFonts w:ascii="Calibri" w:hAnsi="Calibri" w:eastAsia="Calibri" w:cs="Calibri"/>
                <w:b/>
                <w:i w:val="0"/>
                <w:caps/>
                <w:color w:val="5F6B77"/>
                <w:sz w:val="14"/>
                <w:spacing w:val="30"/>
              </w:rPr>
              <w:t>Considered for</w:t>
            </w:r>
          </w:p>
          <w:p>
            <w:pPr>
              <w:spacing w:before="0" w:after="0"/>
            </w:pPr>
            <w:r>
              <w:rPr>
                <w:rFonts w:ascii="Calibri" w:hAnsi="Calibri" w:eastAsia="Calibri" w:cs="Calibri"/>
                <w:b/>
                <w:i w:val="0"/>
                <w:color w:val="2E3338"/>
                <w:sz w:val="19"/>
              </w:rPr>
              <w:t xml:space="preserve">Group Financial Controller, Penhallow &amp; Brice Group</w:t>
            </w:r>
          </w:p>
        </w:tc>
        <w:tc>
          <w:tcPr>
            <w:tcW w:type="dxa" w:w="2536"/>
            <w:shd w:val="clear" w:color="auto" w:fill="F2F3F3"/>
            <w:tcBorders>
              <w:top w:val="single" w:sz="12" w:space="0" w:color="2E3338"/>
            </w:tcBorders>
            <w:tcMar>
              <w:top w:w="100" w:type="dxa"/>
              <w:left w:w="160" w:type="dxa"/>
              <w:bottom w:w="110" w:type="dxa"/>
              <w:right w:w="140" w:type="dxa"/>
            </w:tcMar>
            <w:vAlign w:val="top"/>
          </w:tcPr>
          <w:p>
            <w:pPr>
              <w:spacing w:before="0" w:after="40"/>
            </w:pPr>
            <w:r>
              <w:rPr>
                <w:rFonts w:ascii="Calibri" w:hAnsi="Calibri" w:eastAsia="Calibri" w:cs="Calibri"/>
                <w:b/>
                <w:i w:val="0"/>
                <w:caps/>
                <w:color w:val="5F6B77"/>
                <w:sz w:val="14"/>
                <w:spacing w:val="30"/>
              </w:rPr>
              <w:t>Interviewed by</w:t>
            </w:r>
          </w:p>
          <w:p>
            <w:pPr>
              <w:spacing w:before="0" w:after="0"/>
            </w:pPr>
            <w:r>
              <w:rPr>
                <w:rFonts w:ascii="Calibri" w:hAnsi="Calibri" w:eastAsia="Calibri" w:cs="Calibri"/>
                <w:b/>
                <w:i w:val="0"/>
                <w:color w:val="2E3338"/>
                <w:sz w:val="19"/>
              </w:rPr>
              <w:t xml:space="preserve">James Calloway</w:t>
            </w:r>
          </w:p>
        </w:tc>
        <w:tc>
          <w:tcPr>
            <w:tcW w:type="dxa" w:w="2926"/>
            <w:shd w:val="clear" w:color="auto" w:fill="F2F3F3"/>
            <w:tcBorders>
              <w:top w:val="single" w:sz="12" w:space="0" w:color="2E3338"/>
            </w:tcBorders>
            <w:tcMar>
              <w:top w:w="100" w:type="dxa"/>
              <w:left w:w="160" w:type="dxa"/>
              <w:bottom w:w="110" w:type="dxa"/>
              <w:right w:w="140" w:type="dxa"/>
            </w:tcMar>
            <w:vAlign w:val="top"/>
          </w:tcPr>
          <w:p>
            <w:pPr>
              <w:spacing w:before="0" w:after="40"/>
            </w:pPr>
            <w:r>
              <w:rPr>
                <w:rFonts w:ascii="Calibri" w:hAnsi="Calibri" w:eastAsia="Calibri" w:cs="Calibri"/>
                <w:b/>
                <w:i w:val="0"/>
                <w:caps/>
                <w:color w:val="5F6B77"/>
                <w:sz w:val="14"/>
                <w:spacing w:val="30"/>
              </w:rPr>
              <w:t>Interview</w:t>
            </w:r>
          </w:p>
          <w:p>
            <w:pPr>
              <w:spacing w:before="0" w:after="0"/>
            </w:pPr>
            <w:r>
              <w:rPr>
                <w:rFonts w:ascii="Calibri" w:hAnsi="Calibri" w:eastAsia="Calibri" w:cs="Calibri"/>
                <w:b/>
                <w:i w:val="0"/>
                <w:color w:val="2E3338"/>
                <w:sz w:val="19"/>
              </w:rPr>
              <w:t xml:space="preserve">13 October 2026  ·  In person, 60 minutes</w:t>
            </w:r>
          </w:p>
        </w:tc>
      </w:tr>
    </w:tbl>
    <w:p>
      <w:pPr>
        <w:keepNext/>
        <w:spacing w:before="240" w:after="100"/>
        <w:pBdr>
          <w:bottom w:val="single" w:sz="6" w:space="4" w:color="DFE0E1"/>
        </w:pBdr>
      </w:pPr>
      <w:r>
        <w:rPr>
          <w:rFonts w:ascii="Cambria" w:hAnsi="Cambria" w:eastAsia="Cambria" w:cs="Cambria"/>
          <w:b w:val="0"/>
          <w:i w:val="0"/>
          <w:color w:val="2E3338"/>
          <w:sz w:val="24"/>
        </w:rPr>
        <w:t>Candidate summary</w:t>
      </w:r>
    </w:p>
    <w:p>
      <w:pPr>
        <w:spacing w:before="0" w:after="40"/>
        <w:jc w:val="both"/>
      </w:pPr>
      <w:r>
        <w:rPr>
          <w:rFonts w:ascii="Calibri" w:hAnsi="Calibri" w:eastAsia="Calibri" w:cs="Calibri"/>
          <w:b w:val="0"/>
          <w:i w:val="0"/>
        </w:rPr>
        <w:t xml:space="preserve">Alexandra is Head of Group Reporting at Stratton Rail &amp; Freight, responsible for the group accounts, consolidation and the half-year and full-year results for a £410m business. She is ACCA qualified and spent eight years at the group, moving from management accounts into group reporting.</w:t>
      </w:r>
    </w:p>
    <w:p>
      <w:pPr>
        <w:keepNext/>
        <w:spacing w:before="240" w:after="100"/>
        <w:pBdr>
          <w:bottom w:val="single" w:sz="6" w:space="4" w:color="DFE0E1"/>
        </w:pBdr>
      </w:pPr>
      <w:r>
        <w:rPr>
          <w:rFonts w:ascii="Cambria" w:hAnsi="Cambria" w:eastAsia="Cambria" w:cs="Cambria"/>
          <w:b w:val="0"/>
          <w:i w:val="0"/>
          <w:color w:val="2E3338"/>
          <w:sz w:val="24"/>
        </w:rPr>
        <w:t>Current situation</w:t>
      </w:r>
    </w:p>
    <w:p>
      <w:pPr>
        <w:spacing w:before="0" w:after="40"/>
        <w:jc w:val="both"/>
      </w:pPr>
      <w:r>
        <w:rPr>
          <w:rFonts w:ascii="Calibri" w:hAnsi="Calibri" w:eastAsia="Calibri" w:cs="Calibri"/>
          <w:b w:val="0"/>
          <w:i w:val="0"/>
        </w:rPr>
        <w:t xml:space="preserve">Her manager, the Group Financial Controller, is staying in post, so there is no next step for her at Stratton Rail &amp; Freight in the near future.</w:t>
      </w:r>
    </w:p>
    <w:p>
      <w:pPr>
        <w:keepNext/>
        <w:spacing w:before="240" w:after="100"/>
        <w:pBdr>
          <w:bottom w:val="single" w:sz="6" w:space="4" w:color="DFE0E1"/>
        </w:pBdr>
      </w:pPr>
      <w:r>
        <w:rPr>
          <w:rFonts w:ascii="Cambria" w:hAnsi="Cambria" w:eastAsia="Cambria" w:cs="Cambria"/>
          <w:b w:val="0"/>
          <w:i w:val="0"/>
          <w:color w:val="2E3338"/>
          <w:sz w:val="24"/>
        </w:rPr>
        <w:t>Motivation</w:t>
      </w:r>
    </w:p>
    <w:p>
      <w:pPr>
        <w:spacing w:before="0" w:after="40"/>
        <w:jc w:val="both"/>
      </w:pPr>
      <w:r>
        <w:rPr>
          <w:rFonts w:ascii="Calibri" w:hAnsi="Calibri" w:eastAsia="Calibri" w:cs="Calibri"/>
          <w:b w:val="0"/>
          <w:i w:val="0"/>
        </w:rPr>
        <w:t xml:space="preserve">Alexandra wants her first controller role with a broader team and sees this as the right step up in a business of similar complexity.</w:t>
      </w:r>
    </w:p>
    <w:p>
      <w:pPr>
        <w:keepNext/>
        <w:spacing w:before="240" w:after="100"/>
        <w:pBdr>
          <w:bottom w:val="single" w:sz="6" w:space="4" w:color="DFE0E1"/>
        </w:pBdr>
      </w:pPr>
      <w:r>
        <w:rPr>
          <w:rFonts w:ascii="Cambria" w:hAnsi="Cambria" w:eastAsia="Cambria" w:cs="Cambria"/>
          <w:b w:val="0"/>
          <w:i w:val="0"/>
          <w:color w:val="2E3338"/>
          <w:sz w:val="24"/>
        </w:rPr>
        <w:t>Fit against the brief</w:t>
      </w:r>
    </w:p>
    <w:tbl>
      <w:tblPr>
        <w:tblLook w:firstColumn="1" w:firstRow="1" w:lastColumn="0" w:lastRow="0" w:noHBand="0" w:noVBand="1" w:val="04A0"/>
        <w:tblW w:w="975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608"/>
        <w:gridCol w:w="5897"/>
        <w:gridCol w:w="1247"/>
      </w:tblGrid>
      <w:tr>
        <w:trPr>
          <w:tblHeader/>
          <w:cantSplit/>
        </w:trPr>
        <w:tc>
          <w:tcPr>
            <w:tcW w:type="dxa" w:w="2608"/>
            <w:shd w:val="clear" w:color="auto" w:fill="2E3338"/>
            <w:vAlign w:val="center"/>
            <w:tcMar>
              <w:top w:w="70" w:type="dxa"/>
              <w:left w:w="90" w:type="dxa"/>
              <w:bottom w:w="70" w:type="dxa"/>
              <w:right w:w="90" w:type="dxa"/>
            </w:tcMar>
          </w:tcPr>
          <w:p>
            <w:pPr>
              <w:keepNext/>
              <w:spacing w:before="0" w:after="0"/>
            </w:pPr>
            <w:r>
              <w:rPr>
                <w:rFonts w:ascii="Calibri" w:hAnsi="Calibri" w:eastAsia="Calibri" w:cs="Calibri"/>
                <w:b/>
                <w:i w:val="0"/>
                <w:caps/>
                <w:color w:val="FFFFFF"/>
                <w:sz w:val="14"/>
                <w:spacing w:val="15"/>
              </w:rPr>
              <w:t>The brief asks for</w:t>
            </w:r>
          </w:p>
        </w:tc>
        <w:tc>
          <w:tcPr>
            <w:tcW w:type="dxa" w:w="5897"/>
            <w:shd w:val="clear" w:color="auto" w:fill="2E3338"/>
            <w:vAlign w:val="center"/>
            <w:tcMar>
              <w:top w:w="70" w:type="dxa"/>
              <w:left w:w="90" w:type="dxa"/>
              <w:bottom w:w="70" w:type="dxa"/>
              <w:right w:w="90" w:type="dxa"/>
            </w:tcMar>
          </w:tcPr>
          <w:p>
            <w:pPr>
              <w:keepNext/>
              <w:spacing w:before="0" w:after="0"/>
            </w:pPr>
            <w:r>
              <w:rPr>
                <w:rFonts w:ascii="Calibri" w:hAnsi="Calibri" w:eastAsia="Calibri" w:cs="Calibri"/>
                <w:b/>
                <w:i w:val="0"/>
                <w:caps/>
                <w:color w:val="FFFFFF"/>
                <w:sz w:val="14"/>
                <w:spacing w:val="15"/>
              </w:rPr>
              <w:t>What we found</w:t>
            </w:r>
          </w:p>
        </w:tc>
        <w:tc>
          <w:tcPr>
            <w:tcW w:type="dxa" w:w="1247"/>
            <w:shd w:val="clear" w:color="auto" w:fill="2E3338"/>
            <w:vAlign w:val="center"/>
            <w:tcMar>
              <w:top w:w="70" w:type="dxa"/>
              <w:left w:w="90" w:type="dxa"/>
              <w:bottom w:w="70" w:type="dxa"/>
              <w:right w:w="90" w:type="dxa"/>
            </w:tcMar>
          </w:tcPr>
          <w:p>
            <w:pPr>
              <w:keepNext/>
              <w:spacing w:before="0" w:after="0"/>
            </w:pPr>
            <w:r>
              <w:rPr>
                <w:rFonts w:ascii="Calibri" w:hAnsi="Calibri" w:eastAsia="Calibri" w:cs="Calibri"/>
                <w:b/>
                <w:i w:val="0"/>
                <w:caps/>
                <w:color w:val="FFFFFF"/>
                <w:sz w:val="14"/>
                <w:spacing w:val="15"/>
              </w:rPr>
              <w:t>Match</w:t>
            </w:r>
          </w:p>
        </w:tc>
      </w:tr>
      <w:tr>
        <w:trPr>
          <w:cantSplit/>
        </w:trPr>
        <w:tc>
          <w:tcPr>
            <w:tcW w:type="dxa" w:w="2608"/>
            <w:tcBorders>
              <w:bottom w:val="single" w:sz="4" w:space="0" w:color="DFE0E1"/>
            </w:tcBorders>
            <w:vAlign w:val="center"/>
            <w:tcMar>
              <w:top w:w="60" w:type="dxa"/>
              <w:left w:w="90" w:type="dxa"/>
              <w:bottom w:w="60" w:type="dxa"/>
              <w:right w:w="90" w:type="dxa"/>
            </w:tcMar>
          </w:tcPr>
          <w:p>
            <w:r>
              <w:rPr>
                <w:rFonts w:ascii="Calibri" w:hAnsi="Calibri" w:eastAsia="Calibri" w:cs="Calibri"/>
                <w:b/>
                <w:i w:val="0"/>
                <w:color w:val="2E3338"/>
                <w:sz w:val="17"/>
              </w:rPr>
              <w:t xml:space="preserve">Qualified accountant, ACA or ACCA</w:t>
            </w:r>
          </w:p>
        </w:tc>
        <w:tc>
          <w:tcPr>
            <w:tcW w:type="dxa" w:w="5897"/>
            <w:tcBorders>
              <w:bottom w:val="single" w:sz="4" w:space="0" w:color="DFE0E1"/>
            </w:tcBorders>
            <w:vAlign w:val="center"/>
            <w:tcMar>
              <w:top w:w="60" w:type="dxa"/>
              <w:left w:w="90" w:type="dxa"/>
              <w:bottom w:w="60" w:type="dxa"/>
              <w:right w:w="90" w:type="dxa"/>
            </w:tcMar>
          </w:tcPr>
          <w:p>
            <w:r>
              <w:rPr>
                <w:rFonts w:ascii="Calibri" w:hAnsi="Calibri" w:eastAsia="Calibri" w:cs="Calibri"/>
                <w:b w:val="0"/>
                <w:i w:val="0"/>
                <w:sz w:val="17"/>
              </w:rPr>
              <w:t xml:space="preserve">ACCA qualified in 2016.</w:t>
            </w:r>
          </w:p>
        </w:tc>
        <w:tc>
          <w:tcPr>
            <w:shd w:val="clear" w:color="auto" w:fill="2E3338"/>
            <w:tcW w:type="dxa" w:w="1247"/>
            <w:tcBorders>
              <w:top w:val="single" w:sz="18" w:space="0" w:color="FFFFFF"/>
              <w:left w:val="single" w:sz="18" w:space="0" w:color="FFFFFF"/>
              <w:bottom w:val="single" w:sz="4" w:space="0" w:color="DFE0E1"/>
              <w:right w:val="single" w:sz="18" w:space="0" w:color="FFFFFF"/>
            </w:tcBorders>
            <w:tcMar>
              <w:top w:w="50" w:type="dxa"/>
              <w:left w:w="60" w:type="dxa"/>
              <w:bottom w:w="50" w:type="dxa"/>
              <w:right w:w="60" w:type="dxa"/>
            </w:tcMar>
            <w:vAlign w:val="center"/>
          </w:tcPr>
          <w:p>
            <w:pPr>
              <w:spacing w:before="0" w:after="0"/>
              <w:jc w:val="center"/>
            </w:pPr>
            <w:r>
              <w:rPr>
                <w:rFonts w:ascii="Calibri" w:hAnsi="Calibri" w:eastAsia="Calibri" w:cs="Calibri"/>
                <w:b/>
                <w:i w:val="0"/>
                <w:color w:val="FFFFFF"/>
                <w:sz w:val="17"/>
              </w:rPr>
              <w:t xml:space="preserve">Strong</w:t>
            </w:r>
            <w:r>
              <w:rPr>
                <w:rFonts w:ascii="Calibri" w:hAnsi="Calibri" w:eastAsia="Calibri" w:cs="Calibri"/>
                <w:b w:val="0"/>
                <w:i/>
                <w:color w:val="6B6D70"/>
                <w:sz w:val="16"/>
              </w:rPr>
              <w:t xml:space="preserve"/>
            </w:r>
          </w:p>
        </w:tc>
      </w:tr>
      <w:tr>
        <w:trPr>
          <w:cantSplit/>
        </w:trPr>
        <w:tc>
          <w:tcPr>
            <w:tcW w:type="dxa" w:w="2608"/>
            <w:tcBorders>
              <w:bottom w:val="single" w:sz="4" w:space="0" w:color="DFE0E1"/>
            </w:tcBorders>
            <w:vAlign w:val="center"/>
            <w:tcMar>
              <w:top w:w="60" w:type="dxa"/>
              <w:left w:w="90" w:type="dxa"/>
              <w:bottom w:w="60" w:type="dxa"/>
              <w:right w:w="90" w:type="dxa"/>
            </w:tcMar>
          </w:tcPr>
          <w:p>
            <w:r>
              <w:rPr>
                <w:rFonts w:ascii="Calibri" w:hAnsi="Calibri" w:eastAsia="Calibri" w:cs="Calibri"/>
                <w:b/>
                <w:i w:val="0"/>
                <w:color w:val="2E3338"/>
                <w:sz w:val="17"/>
              </w:rPr>
              <w:t xml:space="preserve">Multi-entity group consolidation</w:t>
            </w:r>
          </w:p>
        </w:tc>
        <w:tc>
          <w:tcPr>
            <w:tcW w:type="dxa" w:w="5897"/>
            <w:tcBorders>
              <w:bottom w:val="single" w:sz="4" w:space="0" w:color="DFE0E1"/>
            </w:tcBorders>
            <w:vAlign w:val="center"/>
            <w:tcMar>
              <w:top w:w="60" w:type="dxa"/>
              <w:left w:w="90" w:type="dxa"/>
              <w:bottom w:w="60" w:type="dxa"/>
              <w:right w:w="90" w:type="dxa"/>
            </w:tcMar>
          </w:tcPr>
          <w:p>
            <w:r>
              <w:rPr>
                <w:rFonts w:ascii="Calibri" w:hAnsi="Calibri" w:eastAsia="Calibri" w:cs="Calibri"/>
                <w:b w:val="0"/>
                <w:i w:val="0"/>
                <w:sz w:val="17"/>
              </w:rPr>
              <w:t xml:space="preserve">Owns the consolidation and the half-year and full-year results for nine entities.</w:t>
            </w:r>
          </w:p>
        </w:tc>
        <w:tc>
          <w:tcPr>
            <w:shd w:val="clear" w:color="auto" w:fill="2E3338"/>
            <w:tcW w:type="dxa" w:w="1247"/>
            <w:tcBorders>
              <w:top w:val="single" w:sz="18" w:space="0" w:color="FFFFFF"/>
              <w:left w:val="single" w:sz="18" w:space="0" w:color="FFFFFF"/>
              <w:bottom w:val="single" w:sz="4" w:space="0" w:color="DFE0E1"/>
              <w:right w:val="single" w:sz="18" w:space="0" w:color="FFFFFF"/>
            </w:tcBorders>
            <w:tcMar>
              <w:top w:w="50" w:type="dxa"/>
              <w:left w:w="60" w:type="dxa"/>
              <w:bottom w:w="50" w:type="dxa"/>
              <w:right w:w="60" w:type="dxa"/>
            </w:tcMar>
            <w:vAlign w:val="center"/>
          </w:tcPr>
          <w:p>
            <w:pPr>
              <w:spacing w:before="0" w:after="0"/>
              <w:jc w:val="center"/>
            </w:pPr>
            <w:r>
              <w:rPr>
                <w:rFonts w:ascii="Calibri" w:hAnsi="Calibri" w:eastAsia="Calibri" w:cs="Calibri"/>
                <w:b/>
                <w:i w:val="0"/>
                <w:color w:val="FFFFFF"/>
                <w:sz w:val="17"/>
              </w:rPr>
              <w:t xml:space="preserve">Strong</w:t>
            </w:r>
            <w:r>
              <w:rPr>
                <w:rFonts w:ascii="Calibri" w:hAnsi="Calibri" w:eastAsia="Calibri" w:cs="Calibri"/>
                <w:b w:val="0"/>
                <w:i/>
                <w:color w:val="6B6D70"/>
                <w:sz w:val="16"/>
              </w:rPr>
              <w:t xml:space="preserve"/>
            </w:r>
          </w:p>
        </w:tc>
      </w:tr>
      <w:tr>
        <w:trPr>
          <w:cantSplit/>
        </w:trPr>
        <w:tc>
          <w:tcPr>
            <w:tcW w:type="dxa" w:w="2608"/>
            <w:tcBorders>
              <w:bottom w:val="single" w:sz="4" w:space="0" w:color="DFE0E1"/>
            </w:tcBorders>
            <w:vAlign w:val="center"/>
            <w:tcMar>
              <w:top w:w="60" w:type="dxa"/>
              <w:left w:w="90" w:type="dxa"/>
              <w:bottom w:w="60" w:type="dxa"/>
              <w:right w:w="90" w:type="dxa"/>
            </w:tcMar>
          </w:tcPr>
          <w:p>
            <w:r>
              <w:rPr>
                <w:rFonts w:ascii="Calibri" w:hAnsi="Calibri" w:eastAsia="Calibri" w:cs="Calibri"/>
                <w:b/>
                <w:i w:val="0"/>
                <w:color w:val="2E3338"/>
                <w:sz w:val="17"/>
              </w:rPr>
              <w:t xml:space="preserve">Team leadership of ten or more</w:t>
            </w:r>
          </w:p>
        </w:tc>
        <w:tc>
          <w:tcPr>
            <w:tcW w:type="dxa" w:w="5897"/>
            <w:tcBorders>
              <w:bottom w:val="single" w:sz="4" w:space="0" w:color="DFE0E1"/>
            </w:tcBorders>
            <w:vAlign w:val="center"/>
            <w:tcMar>
              <w:top w:w="60" w:type="dxa"/>
              <w:left w:w="90" w:type="dxa"/>
              <w:bottom w:w="60" w:type="dxa"/>
              <w:right w:w="90" w:type="dxa"/>
            </w:tcMar>
          </w:tcPr>
          <w:p>
            <w:r>
              <w:rPr>
                <w:rFonts w:ascii="Calibri" w:hAnsi="Calibri" w:eastAsia="Calibri" w:cs="Calibri"/>
                <w:b w:val="0"/>
                <w:i w:val="0"/>
                <w:sz w:val="17"/>
              </w:rPr>
              <w:t xml:space="preserve">Leads a team of four; has not yet managed managers.</w:t>
            </w:r>
          </w:p>
        </w:tc>
        <w:tc>
          <w:tcPr>
            <w:shd w:val="clear" w:color="auto" w:fill="6E7071"/>
            <w:tcW w:type="dxa" w:w="1247"/>
            <w:tcBorders>
              <w:top w:val="single" w:sz="18" w:space="0" w:color="FFFFFF"/>
              <w:left w:val="single" w:sz="18" w:space="0" w:color="FFFFFF"/>
              <w:bottom w:val="single" w:sz="4" w:space="0" w:color="DFE0E1"/>
              <w:right w:val="single" w:sz="18" w:space="0" w:color="FFFFFF"/>
            </w:tcBorders>
            <w:tcMar>
              <w:top w:w="50" w:type="dxa"/>
              <w:left w:w="60" w:type="dxa"/>
              <w:bottom w:w="50" w:type="dxa"/>
              <w:right w:w="60" w:type="dxa"/>
            </w:tcMar>
            <w:vAlign w:val="center"/>
          </w:tcPr>
          <w:p>
            <w:pPr>
              <w:spacing w:before="0" w:after="0"/>
              <w:jc w:val="center"/>
            </w:pPr>
            <w:r>
              <w:rPr>
                <w:rFonts w:ascii="Calibri" w:hAnsi="Calibri" w:eastAsia="Calibri" w:cs="Calibri"/>
                <w:b/>
                <w:i w:val="0"/>
                <w:color w:val="FFFFFF"/>
                <w:sz w:val="17"/>
              </w:rPr>
              <w:t xml:space="preserve">Gap</w:t>
            </w:r>
            <w:r>
              <w:rPr>
                <w:rFonts w:ascii="Calibri" w:hAnsi="Calibri" w:eastAsia="Calibri" w:cs="Calibri"/>
                <w:b w:val="0"/>
                <w:i/>
                <w:color w:val="6B6D70"/>
                <w:sz w:val="16"/>
              </w:rPr>
              <w:t xml:space="preserve"/>
            </w:r>
          </w:p>
        </w:tc>
      </w:tr>
      <w:tr>
        <w:trPr>
          <w:cantSplit/>
        </w:trPr>
        <w:tc>
          <w:tcPr>
            <w:tcW w:type="dxa" w:w="2608"/>
            <w:tcBorders>
              <w:bottom w:val="single" w:sz="4" w:space="0" w:color="DFE0E1"/>
            </w:tcBorders>
            <w:vAlign w:val="center"/>
            <w:tcMar>
              <w:top w:w="60" w:type="dxa"/>
              <w:left w:w="90" w:type="dxa"/>
              <w:bottom w:w="60" w:type="dxa"/>
              <w:right w:w="90" w:type="dxa"/>
            </w:tcMar>
          </w:tcPr>
          <w:p>
            <w:r>
              <w:rPr>
                <w:rFonts w:ascii="Calibri" w:hAnsi="Calibri" w:eastAsia="Calibri" w:cs="Calibri"/>
                <w:b/>
                <w:i w:val="0"/>
                <w:color w:val="2E3338"/>
                <w:sz w:val="17"/>
              </w:rPr>
              <w:t xml:space="preserve">IFRS and statutory reporting</w:t>
            </w:r>
          </w:p>
        </w:tc>
        <w:tc>
          <w:tcPr>
            <w:tcW w:type="dxa" w:w="5897"/>
            <w:tcBorders>
              <w:bottom w:val="single" w:sz="4" w:space="0" w:color="DFE0E1"/>
            </w:tcBorders>
            <w:vAlign w:val="center"/>
            <w:tcMar>
              <w:top w:w="60" w:type="dxa"/>
              <w:left w:w="90" w:type="dxa"/>
              <w:bottom w:w="60" w:type="dxa"/>
              <w:right w:w="90" w:type="dxa"/>
            </w:tcMar>
          </w:tcPr>
          <w:p>
            <w:r>
              <w:rPr>
                <w:rFonts w:ascii="Calibri" w:hAnsi="Calibri" w:eastAsia="Calibri" w:cs="Calibri"/>
                <w:b w:val="0"/>
                <w:i w:val="0"/>
                <w:sz w:val="17"/>
              </w:rPr>
              <w:t xml:space="preserve">Prepares the IFRS group accounts and leads the external audit timetable.</w:t>
            </w:r>
          </w:p>
        </w:tc>
        <w:tc>
          <w:tcPr>
            <w:shd w:val="clear" w:color="auto" w:fill="5F6B77"/>
            <w:tcW w:type="dxa" w:w="1247"/>
            <w:tcBorders>
              <w:top w:val="single" w:sz="18" w:space="0" w:color="FFFFFF"/>
              <w:left w:val="single" w:sz="18" w:space="0" w:color="FFFFFF"/>
              <w:bottom w:val="single" w:sz="4" w:space="0" w:color="DFE0E1"/>
              <w:right w:val="single" w:sz="18" w:space="0" w:color="FFFFFF"/>
            </w:tcBorders>
            <w:tcMar>
              <w:top w:w="50" w:type="dxa"/>
              <w:left w:w="60" w:type="dxa"/>
              <w:bottom w:w="50" w:type="dxa"/>
              <w:right w:w="60" w:type="dxa"/>
            </w:tcMar>
            <w:vAlign w:val="center"/>
          </w:tcPr>
          <w:p>
            <w:pPr>
              <w:spacing w:before="0" w:after="0"/>
              <w:jc w:val="center"/>
            </w:pPr>
            <w:r>
              <w:rPr>
                <w:rFonts w:ascii="Calibri" w:hAnsi="Calibri" w:eastAsia="Calibri" w:cs="Calibri"/>
                <w:b/>
                <w:i w:val="0"/>
                <w:color w:val="FFFFFF"/>
                <w:sz w:val="17"/>
              </w:rPr>
              <w:t xml:space="preserve">Good</w:t>
            </w:r>
            <w:r>
              <w:rPr>
                <w:rFonts w:ascii="Calibri" w:hAnsi="Calibri" w:eastAsia="Calibri" w:cs="Calibri"/>
                <w:b w:val="0"/>
                <w:i/>
                <w:color w:val="6B6D70"/>
                <w:sz w:val="16"/>
              </w:rPr>
              <w:t xml:space="preserve"/>
            </w:r>
          </w:p>
        </w:tc>
      </w:tr>
      <w:tr>
        <w:trPr>
          <w:cantSplit/>
        </w:trPr>
        <w:tc>
          <w:tcPr>
            <w:tcW w:type="dxa" w:w="2608"/>
            <w:tcBorders>
              <w:bottom w:val="single" w:sz="4" w:space="0" w:color="DFE0E1"/>
            </w:tcBorders>
            <w:vAlign w:val="center"/>
            <w:tcMar>
              <w:top w:w="60" w:type="dxa"/>
              <w:left w:w="90" w:type="dxa"/>
              <w:bottom w:w="60" w:type="dxa"/>
              <w:right w:w="90" w:type="dxa"/>
            </w:tcMar>
          </w:tcPr>
          <w:p>
            <w:r>
              <w:rPr>
                <w:rFonts w:ascii="Calibri" w:hAnsi="Calibri" w:eastAsia="Calibri" w:cs="Calibri"/>
                <w:b/>
                <w:i w:val="0"/>
                <w:color w:val="2E3338"/>
                <w:sz w:val="17"/>
              </w:rPr>
              <w:t xml:space="preserve">Refinancing or lender reporting</w:t>
            </w:r>
          </w:p>
        </w:tc>
        <w:tc>
          <w:tcPr>
            <w:tcW w:type="dxa" w:w="5897"/>
            <w:tcBorders>
              <w:bottom w:val="single" w:sz="4" w:space="0" w:color="DFE0E1"/>
            </w:tcBorders>
            <w:vAlign w:val="center"/>
            <w:tcMar>
              <w:top w:w="60" w:type="dxa"/>
              <w:left w:w="90" w:type="dxa"/>
              <w:bottom w:w="60" w:type="dxa"/>
              <w:right w:w="90" w:type="dxa"/>
            </w:tcMar>
          </w:tcPr>
          <w:p>
            <w:r>
              <w:rPr>
                <w:rFonts w:ascii="Calibri" w:hAnsi="Calibri" w:eastAsia="Calibri" w:cs="Calibri"/>
                <w:b w:val="0"/>
                <w:i w:val="0"/>
                <w:sz w:val="17"/>
              </w:rPr>
              <w:t xml:space="preserve">Prepares the quarterly covenant reporting to the group's lenders.</w:t>
            </w:r>
          </w:p>
        </w:tc>
        <w:tc>
          <w:tcPr>
            <w:shd w:val="clear" w:color="auto" w:fill="F2F3F3"/>
            <w:tcW w:type="dxa" w:w="1247"/>
            <w:tcBorders>
              <w:top w:val="single" w:sz="18" w:space="0" w:color="FFFFFF"/>
              <w:left w:val="single" w:sz="18" w:space="0" w:color="FFFFFF"/>
              <w:bottom w:val="single" w:sz="4" w:space="0" w:color="DFE0E1"/>
              <w:right w:val="single" w:sz="18" w:space="0" w:color="FFFFFF"/>
            </w:tcBorders>
            <w:tcMar>
              <w:top w:w="50" w:type="dxa"/>
              <w:left w:w="60" w:type="dxa"/>
              <w:bottom w:w="50" w:type="dxa"/>
              <w:right w:w="60" w:type="dxa"/>
            </w:tcMar>
            <w:vAlign w:val="center"/>
          </w:tcPr>
          <w:p>
            <w:pPr>
              <w:spacing w:before="0" w:after="0"/>
              <w:jc w:val="center"/>
            </w:pPr>
            <w:r>
              <w:rPr>
                <w:rFonts w:ascii="Calibri" w:hAnsi="Calibri" w:eastAsia="Calibri" w:cs="Calibri"/>
                <w:b/>
                <w:i w:val="0"/>
                <w:color w:val="FFFFFF"/>
                <w:sz w:val="17"/>
              </w:rPr>
              <w:t xml:space="preserve"/>
            </w:r>
            <w:r>
              <w:rPr>
                <w:rFonts w:ascii="Calibri" w:hAnsi="Calibri" w:eastAsia="Calibri" w:cs="Calibri"/>
                <w:b w:val="0"/>
                <w:i/>
                <w:color w:val="6B6D70"/>
                <w:sz w:val="16"/>
              </w:rPr>
              <w:t xml:space="preserve">To assess</w:t>
            </w:r>
          </w:p>
        </w:tc>
      </w:tr>
    </w:tbl>
    <w:p>
      <w:pPr>
        <w:spacing w:before="60" w:after="0"/>
      </w:pPr>
      <w:r>
        <w:rPr>
          <w:rFonts w:ascii="Calibri" w:hAnsi="Calibri" w:eastAsia="Calibri" w:cs="Calibri"/>
          <w:b w:val="0"/>
          <w:i w:val="0"/>
          <w:color w:val="6B6D70"/>
          <w:sz w:val="15"/>
        </w:rPr>
        <w:t>Match:  Strong  ·  Good  ·  Partial  ·  Gap  ·  To assess (not yet covered at interview)</w:t>
      </w:r>
    </w:p>
    <w:p>
      <w:pPr>
        <w:keepNext/>
        <w:spacing w:before="240" w:after="100"/>
        <w:pBdr>
          <w:bottom w:val="single" w:sz="6" w:space="4" w:color="DFE0E1"/>
        </w:pBdr>
      </w:pPr>
      <w:r>
        <w:rPr>
          <w:rFonts w:ascii="Cambria" w:hAnsi="Cambria" w:eastAsia="Cambria" w:cs="Cambria"/>
          <w:b w:val="0"/>
          <w:i w:val="0"/>
          <w:color w:val="2E3338"/>
          <w:sz w:val="24"/>
        </w:rPr>
        <w:t>Compensation and notice</w:t>
      </w:r>
    </w:p>
    <w:tbl>
      <w:tblPr>
        <w:tblLook w:firstColumn="1" w:firstRow="1" w:lastColumn="0" w:lastRow="0" w:noHBand="0" w:noVBand="1" w:val="04A0"/>
        <w:tblW w:w="9752" w:type="dxa"/>
        <w:jc w:val="left"/>
        <w:tblInd w:w="220" w:type="dxa"/>
        <w:tblLayout w:type="fixed"/>
        <w:tblBorders>
          <w:top w:val="nil"/>
          <w:left w:val="nil"/>
          <w:bottom w:val="nil"/>
          <w:right w:val="nil"/>
          <w:insideH w:val="nil"/>
          <w:insideV w:val="nil"/>
        </w:tblBorders>
        <w:tblCellMar>
          <w:top w:w="0" w:type="dxa"/>
          <w:left w:w="0" w:type="dxa"/>
          <w:bottom w:w="0" w:type="dxa"/>
          <w:right w:w="0" w:type="dxa"/>
        </w:tblCellMar>
      </w:tblPr>
      <w:tblGrid>
        <w:gridCol w:w="4876"/>
        <w:gridCol w:w="4876"/>
      </w:tblGrid>
      <w:tr>
        <w:tc>
          <w:tcPr>
            <w:tcW w:type="dxa" w:w="9752"/>
            <w:shd w:val="clear" w:color="auto" w:fill="F1F2F3"/>
            <w:tcMar>
              <w:top w:w="90" w:type="dxa"/>
              <w:left w:w="220" w:type="dxa"/>
              <w:bottom w:w="100" w:type="dxa"/>
              <w:right w:w="220" w:type="dxa"/>
            </w:tcMar>
          </w:tcPr>
          <w:p>
            <w:pPr>
              <w:spacing w:before="0" w:after="40"/>
            </w:pPr>
            <w:r>
              <w:rPr>
                <w:rFonts w:ascii="Calibri" w:hAnsi="Calibri" w:eastAsia="Calibri" w:cs="Calibri"/>
                <w:b w:val="0"/>
                <w:i/>
                <w:color w:val="6B6D70"/>
                <w:sz w:val="15"/>
              </w:rPr>
              <w:t>As stated by the candidate</w:t>
            </w:r>
          </w:p>
          <w:tbl>
            <w:tblPr>
              <w:tblLook w:firstColumn="1" w:firstRow="1" w:lastColumn="0" w:lastRow="0" w:noHBand="0" w:noVBand="1" w:val="04A0"/>
              <w:tblW w:w="931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381"/>
              <w:gridCol w:w="6931"/>
            </w:tblGrid>
            <w:tr>
              <w:tc>
                <w:tcPr>
                  <w:tcW w:type="dxa" w:w="2381"/>
                  <w:tcMar>
                    <w:top w:w="30" w:type="dxa"/>
                    <w:left w:w="0" w:type="dxa"/>
                    <w:bottom w:w="30" w:type="dxa"/>
                    <w:right w:w="0" w:type="dxa"/>
                  </w:tcMar>
                </w:tcPr>
                <w:p>
                  <w:r>
                    <w:rPr>
                      <w:rFonts w:ascii="Calibri" w:hAnsi="Calibri" w:eastAsia="Calibri" w:cs="Calibri"/>
                      <w:b w:val="0"/>
                      <w:i w:val="0"/>
                      <w:color w:val="6B6D70"/>
                      <w:sz w:val="17"/>
                    </w:rPr>
                    <w:t xml:space="preserve">Current package</w:t>
                  </w:r>
                </w:p>
              </w:tc>
              <w:tc>
                <w:tcPr>
                  <w:tcW w:type="dxa" w:w="6931"/>
                  <w:tcMar>
                    <w:top w:w="30" w:type="dxa"/>
                    <w:left w:w="0" w:type="dxa"/>
                    <w:bottom w:w="30" w:type="dxa"/>
                    <w:right w:w="0" w:type="dxa"/>
                  </w:tcMar>
                </w:tcPr>
                <w:p>
                  <w:r>
                    <w:rPr>
                      <w:rFonts w:ascii="Calibri" w:hAnsi="Calibri" w:eastAsia="Calibri" w:cs="Calibri"/>
                      <w:b/>
                      <w:i w:val="0"/>
                      <w:color w:val="2E3338"/>
                      <w:sz w:val="18"/>
                    </w:rPr>
                    <w:t xml:space="preserve">£84,000 base + 10% bonus</w:t>
                  </w:r>
                </w:p>
              </w:tc>
            </w:tr>
            <w:tr>
              <w:tc>
                <w:tcPr>
                  <w:tcW w:type="dxa" w:w="2381"/>
                  <w:tcMar>
                    <w:top w:w="30" w:type="dxa"/>
                    <w:left w:w="0" w:type="dxa"/>
                    <w:bottom w:w="30" w:type="dxa"/>
                    <w:right w:w="0" w:type="dxa"/>
                  </w:tcMar>
                </w:tcPr>
                <w:p>
                  <w:r>
                    <w:rPr>
                      <w:rFonts w:ascii="Calibri" w:hAnsi="Calibri" w:eastAsia="Calibri" w:cs="Calibri"/>
                      <w:b w:val="0"/>
                      <w:i w:val="0"/>
                      <w:color w:val="6B6D70"/>
                      <w:sz w:val="17"/>
                    </w:rPr>
                    <w:t xml:space="preserve">Expectation</w:t>
                  </w:r>
                </w:p>
              </w:tc>
              <w:tc>
                <w:tcPr>
                  <w:tcW w:type="dxa" w:w="6931"/>
                  <w:tcMar>
                    <w:top w:w="30" w:type="dxa"/>
                    <w:left w:w="0" w:type="dxa"/>
                    <w:bottom w:w="30" w:type="dxa"/>
                    <w:right w:w="0" w:type="dxa"/>
                  </w:tcMar>
                </w:tcPr>
                <w:p>
                  <w:r>
                    <w:rPr>
                      <w:rFonts w:ascii="Calibri" w:hAnsi="Calibri" w:eastAsia="Calibri" w:cs="Calibri"/>
                      <w:b/>
                      <w:i w:val="0"/>
                      <w:color w:val="2E3338"/>
                      <w:sz w:val="18"/>
                    </w:rPr>
                    <w:t xml:space="preserve">Around £100,000 base</w:t>
                  </w:r>
                </w:p>
              </w:tc>
            </w:tr>
            <w:tr>
              <w:tc>
                <w:tcPr>
                  <w:tcW w:type="dxa" w:w="2381"/>
                  <w:tcMar>
                    <w:top w:w="30" w:type="dxa"/>
                    <w:left w:w="0" w:type="dxa"/>
                    <w:bottom w:w="30" w:type="dxa"/>
                    <w:right w:w="0" w:type="dxa"/>
                  </w:tcMar>
                </w:tcPr>
                <w:p>
                  <w:r>
                    <w:rPr>
                      <w:rFonts w:ascii="Calibri" w:hAnsi="Calibri" w:eastAsia="Calibri" w:cs="Calibri"/>
                      <w:b w:val="0"/>
                      <w:i w:val="0"/>
                      <w:color w:val="6B6D70"/>
                      <w:sz w:val="17"/>
                    </w:rPr>
                    <w:t xml:space="preserve">Notice period</w:t>
                  </w:r>
                </w:p>
              </w:tc>
              <w:tc>
                <w:tcPr>
                  <w:tcW w:type="dxa" w:w="6931"/>
                  <w:tcMar>
                    <w:top w:w="30" w:type="dxa"/>
                    <w:left w:w="0" w:type="dxa"/>
                    <w:bottom w:w="30" w:type="dxa"/>
                    <w:right w:w="0" w:type="dxa"/>
                  </w:tcMar>
                </w:tcPr>
                <w:p>
                  <w:r>
                    <w:rPr>
                      <w:rFonts w:ascii="Calibri" w:hAnsi="Calibri" w:eastAsia="Calibri" w:cs="Calibri"/>
                      <w:b/>
                      <w:i w:val="0"/>
                      <w:color w:val="2E3338"/>
                      <w:sz w:val="18"/>
                    </w:rPr>
                    <w:t xml:space="preserve">2 months</w:t>
                  </w:r>
                </w:p>
              </w:tc>
            </w:tr>
          </w:tbl>
          <w:p/>
          <w:p>
            <w:pPr>
              <w:spacing w:before="0" w:after="0" w:line="2" w:lineRule="exact"/>
            </w:pPr>
            <w:r>
              <w:rPr>
                <w:rFonts w:ascii="Calibri" w:hAnsi="Calibri" w:eastAsia="Calibri" w:cs="Calibri"/>
                <w:b w:val="0"/>
                <w:i w:val="0"/>
                <w:sz w:val="2"/>
              </w:rPr>
            </w:r>
          </w:p>
        </w:tc>
      </w:tr>
    </w:tbl>
    <w:p>
      <w:pPr>
        <w:keepNext/>
        <w:spacing w:before="240" w:after="100"/>
        <w:pBdr>
          <w:bottom w:val="single" w:sz="6" w:space="4" w:color="DFE0E1"/>
        </w:pBdr>
      </w:pPr>
      <w:r>
        <w:rPr>
          <w:rFonts w:ascii="Cambria" w:hAnsi="Cambria" w:eastAsia="Cambria" w:cs="Cambria"/>
          <w:b w:val="0"/>
          <w:i w:val="0"/>
          <w:color w:val="2E3338"/>
          <w:sz w:val="24"/>
        </w:rPr>
        <w:t>Consultant’s view</w:t>
      </w:r>
    </w:p>
    <w:tbl>
      <w:tblPr>
        <w:tblLook w:firstColumn="1" w:firstRow="1" w:lastColumn="0" w:lastRow="0" w:noHBand="0" w:noVBand="1" w:val="04A0"/>
        <w:tblW w:w="975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7144"/>
        <w:gridCol w:w="227"/>
        <w:gridCol w:w="2381"/>
      </w:tblGrid>
      <w:tr>
        <w:trPr>
          <w:cantSplit/>
        </w:trPr>
        <w:tc>
          <w:tcPr>
            <w:tcW w:type="dxa" w:w="7144"/>
            <w:vAlign w:val="top"/>
            <w:tcBorders>
              <w:left w:val="single" w:sz="24" w:space="0" w:color="5F6B77"/>
            </w:tcBorders>
            <w:tcMar>
              <w:top w:w="20" w:type="dxa"/>
              <w:left w:w="200" w:type="dxa"/>
              <w:bottom w:w="20" w:type="dxa"/>
              <w:right w:w="60" w:type="dxa"/>
            </w:tcMar>
          </w:tcPr>
          <w:p>
            <w:pPr>
              <w:spacing w:before="0" w:after="0"/>
              <w:jc w:val="both"/>
            </w:pPr>
            <w:r>
              <w:rPr>
                <w:rFonts w:ascii="Calibri" w:hAnsi="Calibri" w:eastAsia="Calibri" w:cs="Calibri"/>
                <w:b w:val="0"/>
                <w:i/>
                <w:sz w:val="19"/>
              </w:rPr>
              <w:t xml:space="preserve">Technically very strong and the most hands-on reporter on the longlist, but the leadership step from four to fourteen people is significant. Worth presenting if the client is open to a stretch appointment with strong support from the CFO.</w:t>
            </w:r>
          </w:p>
        </w:tc>
        <w:tc>
          <w:tcPr>
            <w:tcW w:type="dxa" w:w="227"/>
          </w:tcPr>
          <w:p/>
        </w:tc>
        <w:tc>
          <w:tcPr>
            <w:shd w:val="clear" w:color="auto" w:fill="5F6B77"/>
            <w:tcW w:type="dxa" w:w="2381"/>
            <w:vAlign w:val="center"/>
            <w:tcMar>
              <w:top w:w="120" w:type="dxa"/>
              <w:left w:w="180" w:type="dxa"/>
              <w:bottom w:w="130" w:type="dxa"/>
              <w:right w:w="180" w:type="dxa"/>
            </w:tcMar>
          </w:tcPr>
          <w:p>
            <w:pPr>
              <w:spacing w:before="0" w:after="40"/>
              <w:jc w:val="center"/>
            </w:pPr>
            <w:r>
              <w:rPr>
                <w:rFonts w:ascii="Calibri" w:hAnsi="Calibri" w:eastAsia="Calibri" w:cs="Calibri"/>
                <w:b w:val="0"/>
                <w:i w:val="0"/>
                <w:sz w:val="2"/>
              </w:rPr>
              <w:t xml:space="preserve"/>
            </w:r>
            <w:r>
              <w:rPr>
                <w:rFonts w:ascii="Calibri" w:hAnsi="Calibri" w:eastAsia="Calibri" w:cs="Calibri"/>
                <w:b/>
                <w:i w:val="0"/>
                <w:caps/>
                <w:color w:val="FFFFFF"/>
                <w:sz w:val="14"/>
                <w:spacing w:val="30"/>
              </w:rPr>
              <w:t>Recommendation</w:t>
            </w:r>
            <w:r>
              <w:rPr>
                <w:rFonts w:ascii="Calibri" w:hAnsi="Calibri" w:eastAsia="Calibri" w:cs="Calibri"/>
                <w:b w:val="0"/>
                <w:i w:val="0"/>
                <w:sz w:val="2"/>
              </w:rPr>
              <w:t xml:space="preserve"/>
            </w:r>
          </w:p>
          <w:p>
            <w:pPr>
              <w:spacing w:before="0" w:after="0"/>
              <w:jc w:val="center"/>
            </w:pPr>
            <w:r>
              <w:rPr>
                <w:rFonts w:ascii="Cambria" w:hAnsi="Cambria" w:eastAsia="Cambria" w:cs="Cambria"/>
                <w:b/>
                <w:i w:val="0"/>
                <w:color w:val="FFFFFF"/>
                <w:sz w:val="24"/>
              </w:rPr>
              <w:t xml:space="preserve">Hold</w:t>
            </w:r>
            <w:r>
              <w:rPr>
                <w:rFonts w:ascii="Cambria" w:hAnsi="Cambria" w:eastAsia="Cambria" w:cs="Cambria"/>
                <w:b w:val="0"/>
                <w:i/>
                <w:color w:val="6B6D70"/>
                <w:sz w:val="20"/>
              </w:rPr>
              <w:t xml:space="preserve"/>
            </w:r>
          </w:p>
        </w:tc>
      </w:tr>
    </w:tbl>
    <w:p>
      <w:pPr>
        <w:spacing w:before="0" w:after="0" w:line="200" w:lineRule="exact"/>
      </w:pPr>
      <w:r>
        <w:rPr>
          <w:rFonts w:ascii="Calibri" w:hAnsi="Calibri" w:eastAsia="Calibri" w:cs="Calibri"/>
          <w:b w:val="0"/>
          <w:i w:val="0"/>
          <w:sz w:val="2"/>
        </w:rPr>
      </w:r>
    </w:p>
    <w:tbl>
      <w:tblPr>
        <w:tblLook w:firstColumn="1" w:firstRow="1" w:lastColumn="0" w:lastRow="0" w:noHBand="0" w:noVBand="1" w:val="04A0"/>
        <w:tblW w:w="975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706"/>
        <w:gridCol w:w="340"/>
        <w:gridCol w:w="4706"/>
      </w:tblGrid>
      <w:tr>
        <w:tc>
          <w:tcPr>
            <w:tcW w:type="dxa" w:w="4706"/>
            <w:vAlign w:val="top"/>
          </w:tcPr>
          <w:p>
            <w:pPr>
              <w:keepNext/>
              <w:spacing w:before="0" w:after="60"/>
            </w:pPr>
            <w:r>
              <w:rPr>
                <w:rFonts w:ascii="Calibri" w:hAnsi="Calibri" w:eastAsia="Calibri" w:cs="Calibri"/>
                <w:b/>
                <w:i w:val="0"/>
                <w:caps/>
                <w:color w:val="5F6B77"/>
                <w:sz w:val="15"/>
                <w:spacing w:val="30"/>
              </w:rPr>
              <w:t>Risks and points to check</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Leadership scale is the main gap against the brief</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Lender reporting experience was not covered in depth</w:t>
            </w:r>
          </w:p>
          <w:p>
            <w:pPr>
              <w:spacing w:before="0" w:after="0" w:line="2" w:lineRule="exact"/>
            </w:pPr>
            <w:r>
              <w:rPr>
                <w:rFonts w:ascii="Calibri" w:hAnsi="Calibri" w:eastAsia="Calibri" w:cs="Calibri"/>
                <w:b w:val="0"/>
                <w:i w:val="0"/>
                <w:sz w:val="2"/>
              </w:rPr>
            </w:r>
          </w:p>
        </w:tc>
        <w:tc>
          <w:tcPr>
            <w:tcW w:type="dxa" w:w="340"/>
          </w:tcPr>
          <w:p/>
        </w:tc>
        <w:tc>
          <w:tcPr>
            <w:tcW w:type="dxa" w:w="4706"/>
            <w:vAlign w:val="top"/>
          </w:tcPr>
          <w:p>
            <w:pPr>
              <w:keepNext/>
              <w:spacing w:before="0" w:after="60"/>
            </w:pPr>
            <w:r>
              <w:rPr>
                <w:rFonts w:ascii="Calibri" w:hAnsi="Calibri" w:eastAsia="Calibri" w:cs="Calibri"/>
                <w:b/>
                <w:i w:val="0"/>
                <w:caps/>
                <w:color w:val="5F6B77"/>
                <w:sz w:val="15"/>
                <w:spacing w:val="30"/>
              </w:rPr>
              <w:t>Next steps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Discuss a stretch appointment with the CFO before submitting</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Short follow-up call on team leadership examples</w:t>
            </w:r>
          </w:p>
          <w:p>
            <w:pPr>
              <w:spacing w:before="0" w:after="0" w:line="2" w:lineRule="exact"/>
            </w:pPr>
            <w:r>
              <w:rPr>
                <w:rFonts w:ascii="Calibri" w:hAnsi="Calibri" w:eastAsia="Calibri" w:cs="Calibri"/>
                <w:b w:val="0"/>
                <w:i w:val="0"/>
                <w:sz w:val="2"/>
              </w:rPr>
            </w:r>
          </w:p>
        </w:tc>
      </w:tr>
    </w:tbl>
    <w:p>
      <w:pPr>
        <w:spacing w:before="200" w:after="0"/>
        <w:pBdr>
          <w:top w:val="single" w:sz="6" w:space="5" w:color="DFE0E1"/>
        </w:pBdr>
      </w:pPr>
      <w:r>
        <w:rPr>
          <w:rFonts w:ascii="Calibri" w:hAnsi="Calibri" w:eastAsia="Calibri" w:cs="Calibri"/>
          <w:b w:val="0"/>
          <w:i w:val="0"/>
          <w:color w:val="6B6D70"/>
          <w:sz w:val="16"/>
        </w:rPr>
        <w:t xml:space="preserve">Report written 14 October 2026</w:t>
      </w:r>
    </w:p>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tbl>
      <w:tblPr>
        <w:tblLook w:firstColumn="1" w:firstRow="1" w:lastColumn="0" w:lastRow="0" w:noHBand="0" w:noVBand="1" w:val="04A0"/>
        <w:tblW w:w="975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324"/>
        <w:gridCol w:w="7428"/>
      </w:tblGrid>
      <w:tr>
        <w:tc>
          <w:tcPr>
            <w:tcW w:type="dxa" w:w="2324"/>
            <w:vAlign w:val="center"/>
            <w:tcMar>
              <w:top w:w="0" w:type="dxa"/>
              <w:left w:w="0" w:type="dxa"/>
              <w:bottom w:w="0" w:type="dxa"/>
              <w:right w:w="200" w:type="dxa"/>
            </w:tcMar>
          </w:tcPr>
          <w:p>
            <w:pPr>
              <w:spacing w:before="0" w:after="0" w:line="240" w:lineRule="auto"/>
              <w:rPr>
                <w:sz w:val="2"/>
              </w:rPr>
            </w:pPr>
            <w:r>
              <w:drawing>
                <wp:inline distT="0" distB="0" distL="0" distR="0">
                  <wp:extent cx="936000" cy="936000"/>
                  <wp:effectExtent l="0" t="0" r="0" b="0"/>
                  <wp:docPr id="1005" name="Monogram 901"/>
                  <wp:cNvGraphicFramePr/>
                  <a:graphic xmlns:a="http://schemas.openxmlformats.org/drawingml/2006/main">
                    <a:graphicData uri="http://schemas.microsoft.com/office/word/2010/wordprocessingShape">
                      <wps:wsp>
                        <wps:cNvSpPr/>
                        <wps:spPr>
                          <a:xfrm>
                            <a:off x="0" y="0"/>
                            <a:ext cx="936000" cy="936000"/>
                          </a:xfrm>
                          <a:prstGeom prst="rect">
                            <a:avLst/>
                          </a:prstGeom>
                          <a:solidFill>
                            <a:srgbClr val="2E3338"/>
                          </a:solidFill>
                          <a:ln>
                            <a:noFill/>
                          </a:ln>
                        </wps:spPr>
                        <wps:txbx>
                          <w:txbxContent>
                            <w:p>
                              <w:pPr>
                                <w:spacing w:before="0" w:after="0" w:line="240" w:lineRule="auto"/>
                                <w:jc w:val="center"/>
                              </w:pPr>
                              <w:r>
                                <w:rPr>
                                  <w:rFonts w:ascii="Cambria" w:hAnsi="Cambria" w:eastAsia="Cambria" w:cs="Cambria"/>
                                  <w:color w:val="FFFFFF"/>
                                  <w:sz w:val="52"/>
                                </w:rPr>
                                <w:t xml:space="preserve">TB</w:t>
                              </w:r>
                            </w:p>
                          </w:txbxContent>
                        </wps:txbx>
                        <wps:bodyPr rot="0" vert="horz" wrap="square" lIns="0" tIns="0" rIns="0" bIns="0" anchor="ctr" anchorCtr="0">
                          <a:noAutofit/>
                        </wps:bodyPr>
                      </wps:wsp>
                    </a:graphicData>
                  </a:graphic>
                </wp:inline>
              </w:drawing>
            </w:r>
          </w:p>
        </w:tc>
        <w:tc>
          <w:tcPr>
            <w:tcW w:type="dxa" w:w="7428"/>
            <w:vAlign w:val="center"/>
            <w:tcMar>
              <w:top w:w="0" w:type="dxa"/>
              <w:left w:w="200" w:type="dxa"/>
              <w:bottom w:w="0" w:type="dxa"/>
              <w:right w:w="0" w:type="dxa"/>
            </w:tcMar>
          </w:tcPr>
          <w:p>
            <w:pPr>
              <w:spacing w:before="0" w:after="40"/>
            </w:pPr>
            <w:r>
              <w:rPr>
                <w:rFonts w:ascii="Calibri" w:hAnsi="Calibri" w:eastAsia="Calibri" w:cs="Calibri"/>
                <w:b/>
                <w:i w:val="0"/>
                <w:caps/>
                <w:color w:val="5F6B77"/>
                <w:sz w:val="15"/>
                <w:spacing w:val="30"/>
              </w:rPr>
              <w:t>Candidate report</w:t>
            </w:r>
          </w:p>
          <w:p>
            <w:pPr>
              <w:spacing w:before="0" w:after="40"/>
            </w:pPr>
            <w:r>
              <w:rPr>
                <w:rFonts w:ascii="Cambria" w:hAnsi="Cambria" w:eastAsia="Cambria" w:cs="Cambria"/>
                <w:b w:val="0"/>
                <w:i w:val="0"/>
                <w:color w:val="2E3338"/>
                <w:sz w:val="46"/>
              </w:rPr>
              <w:t xml:space="preserve">Tom Brennan</w:t>
            </w:r>
          </w:p>
          <w:p>
            <w:pPr>
              <w:spacing w:before="0" w:after="40"/>
            </w:pPr>
            <w:r>
              <w:rPr>
                <w:rFonts w:ascii="Calibri" w:hAnsi="Calibri" w:eastAsia="Calibri" w:cs="Calibri"/>
                <w:b/>
                <w:i w:val="0"/>
                <w:color w:val="5F6B77"/>
                <w:sz w:val="21"/>
              </w:rPr>
              <w:t xml:space="preserve">Finance Director</w:t>
            </w:r>
            <w:r>
              <w:rPr>
                <w:rFonts w:ascii="Calibri" w:hAnsi="Calibri" w:eastAsia="Calibri" w:cs="Calibri"/>
                <w:b w:val="0"/>
                <w:i w:val="0"/>
                <w:color w:val="6B6D70"/>
                <w:sz w:val="20"/>
              </w:rPr>
              <w:t xml:space="preserve">   ·   Marlow &amp; Reeve Logistics</w:t>
            </w:r>
          </w:p>
          <w:p>
            <w:pPr>
              <w:spacing w:before="0" w:after="0"/>
            </w:pPr>
            <w:r>
              <w:rPr>
                <w:rFonts w:ascii="Calibri" w:hAnsi="Calibri" w:eastAsia="Calibri" w:cs="Calibri"/>
                <w:b w:val="0"/>
                <w:i w:val="0"/>
                <w:color w:val="6B6D70"/>
                <w:sz w:val="18"/>
              </w:rPr>
              <w:t xml:space="preserve">Leeds, UK</w:t>
            </w:r>
          </w:p>
        </w:tc>
      </w:tr>
    </w:tbl>
    <w:p>
      <w:pPr>
        <w:spacing w:before="0" w:after="0" w:line="160" w:lineRule="exact"/>
      </w:pPr>
      <w:r>
        <w:rPr>
          <w:rFonts w:ascii="Calibri" w:hAnsi="Calibri" w:eastAsia="Calibri" w:cs="Calibri"/>
          <w:b w:val="0"/>
          <w:i w:val="0"/>
          <w:sz w:val="2"/>
        </w:rPr>
      </w:r>
    </w:p>
    <w:tbl>
      <w:tblPr>
        <w:tblLook w:firstColumn="1" w:firstRow="1" w:lastColumn="0" w:lastRow="0" w:noHBand="0" w:noVBand="1" w:val="04A0"/>
        <w:tblW w:w="9753"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291"/>
        <w:gridCol w:w="2536"/>
        <w:gridCol w:w="2926"/>
      </w:tblGrid>
      <w:tr>
        <w:trPr>
          <w:cantSplit/>
        </w:trPr>
        <w:tc>
          <w:tcPr>
            <w:tcW w:type="dxa" w:w="4291"/>
            <w:shd w:val="clear" w:color="auto" w:fill="F2F3F3"/>
            <w:tcBorders>
              <w:top w:val="single" w:sz="12" w:space="0" w:color="2E3338"/>
            </w:tcBorders>
            <w:tcMar>
              <w:top w:w="100" w:type="dxa"/>
              <w:left w:w="160" w:type="dxa"/>
              <w:bottom w:w="110" w:type="dxa"/>
              <w:right w:w="140" w:type="dxa"/>
            </w:tcMar>
            <w:vAlign w:val="top"/>
          </w:tcPr>
          <w:p>
            <w:pPr>
              <w:spacing w:before="0" w:after="40"/>
            </w:pPr>
            <w:r>
              <w:rPr>
                <w:rFonts w:ascii="Calibri" w:hAnsi="Calibri" w:eastAsia="Calibri" w:cs="Calibri"/>
                <w:b/>
                <w:i w:val="0"/>
                <w:caps/>
                <w:color w:val="5F6B77"/>
                <w:sz w:val="14"/>
                <w:spacing w:val="30"/>
              </w:rPr>
              <w:t>Considered for</w:t>
            </w:r>
          </w:p>
          <w:p>
            <w:pPr>
              <w:spacing w:before="0" w:after="0"/>
            </w:pPr>
            <w:r>
              <w:rPr>
                <w:rFonts w:ascii="Calibri" w:hAnsi="Calibri" w:eastAsia="Calibri" w:cs="Calibri"/>
                <w:b/>
                <w:i w:val="0"/>
                <w:color w:val="2E3338"/>
                <w:sz w:val="19"/>
              </w:rPr>
              <w:t xml:space="preserve">Group Financial Controller, Penhallow &amp; Brice Group</w:t>
            </w:r>
          </w:p>
        </w:tc>
        <w:tc>
          <w:tcPr>
            <w:tcW w:type="dxa" w:w="2536"/>
            <w:shd w:val="clear" w:color="auto" w:fill="F2F3F3"/>
            <w:tcBorders>
              <w:top w:val="single" w:sz="12" w:space="0" w:color="2E3338"/>
            </w:tcBorders>
            <w:tcMar>
              <w:top w:w="100" w:type="dxa"/>
              <w:left w:w="160" w:type="dxa"/>
              <w:bottom w:w="110" w:type="dxa"/>
              <w:right w:w="140" w:type="dxa"/>
            </w:tcMar>
            <w:vAlign w:val="top"/>
          </w:tcPr>
          <w:p>
            <w:pPr>
              <w:spacing w:before="0" w:after="40"/>
            </w:pPr>
            <w:r>
              <w:rPr>
                <w:rFonts w:ascii="Calibri" w:hAnsi="Calibri" w:eastAsia="Calibri" w:cs="Calibri"/>
                <w:b/>
                <w:i w:val="0"/>
                <w:caps/>
                <w:color w:val="5F6B77"/>
                <w:sz w:val="14"/>
                <w:spacing w:val="30"/>
              </w:rPr>
              <w:t>Interviewed by</w:t>
            </w:r>
          </w:p>
          <w:p>
            <w:pPr>
              <w:spacing w:before="0" w:after="0"/>
            </w:pPr>
            <w:r>
              <w:rPr>
                <w:rFonts w:ascii="Calibri" w:hAnsi="Calibri" w:eastAsia="Calibri" w:cs="Calibri"/>
                <w:b/>
                <w:i w:val="0"/>
                <w:color w:val="2E3338"/>
                <w:sz w:val="19"/>
              </w:rPr>
              <w:t xml:space="preserve">James Calloway</w:t>
            </w:r>
          </w:p>
        </w:tc>
        <w:tc>
          <w:tcPr>
            <w:tcW w:type="dxa" w:w="2926"/>
            <w:shd w:val="clear" w:color="auto" w:fill="F2F3F3"/>
            <w:tcBorders>
              <w:top w:val="single" w:sz="12" w:space="0" w:color="2E3338"/>
            </w:tcBorders>
            <w:tcMar>
              <w:top w:w="100" w:type="dxa"/>
              <w:left w:w="160" w:type="dxa"/>
              <w:bottom w:w="110" w:type="dxa"/>
              <w:right w:w="140" w:type="dxa"/>
            </w:tcMar>
            <w:vAlign w:val="top"/>
          </w:tcPr>
          <w:p>
            <w:pPr>
              <w:spacing w:before="0" w:after="40"/>
            </w:pPr>
            <w:r>
              <w:rPr>
                <w:rFonts w:ascii="Calibri" w:hAnsi="Calibri" w:eastAsia="Calibri" w:cs="Calibri"/>
                <w:b/>
                <w:i w:val="0"/>
                <w:caps/>
                <w:color w:val="5F6B77"/>
                <w:sz w:val="14"/>
                <w:spacing w:val="30"/>
              </w:rPr>
              <w:t>Interview</w:t>
            </w:r>
          </w:p>
          <w:p>
            <w:pPr>
              <w:spacing w:before="0" w:after="0"/>
            </w:pPr>
            <w:r>
              <w:rPr>
                <w:rFonts w:ascii="Calibri" w:hAnsi="Calibri" w:eastAsia="Calibri" w:cs="Calibri"/>
                <w:b/>
                <w:i w:val="0"/>
                <w:color w:val="2E3338"/>
                <w:sz w:val="19"/>
              </w:rPr>
              <w:t xml:space="preserve">13 October 2026  ·  Phone call</w:t>
            </w:r>
          </w:p>
        </w:tc>
      </w:tr>
    </w:tbl>
    <w:p>
      <w:pPr>
        <w:keepNext/>
        <w:spacing w:before="240" w:after="100"/>
        <w:pBdr>
          <w:bottom w:val="single" w:sz="6" w:space="4" w:color="DFE0E1"/>
        </w:pBdr>
      </w:pPr>
      <w:r>
        <w:rPr>
          <w:rFonts w:ascii="Cambria" w:hAnsi="Cambria" w:eastAsia="Cambria" w:cs="Cambria"/>
          <w:b w:val="0"/>
          <w:i w:val="0"/>
          <w:color w:val="2E3338"/>
          <w:sz w:val="24"/>
        </w:rPr>
        <w:t>Candidate summary</w:t>
      </w:r>
    </w:p>
    <w:p>
      <w:pPr>
        <w:spacing w:before="0" w:after="40"/>
        <w:jc w:val="both"/>
      </w:pPr>
      <w:r>
        <w:rPr>
          <w:rFonts w:ascii="Calibri" w:hAnsi="Calibri" w:eastAsia="Calibri" w:cs="Calibri"/>
          <w:b w:val="0"/>
          <w:i w:val="0"/>
        </w:rPr>
        <w:t xml:space="preserve">Tom is Finance Director of Marlow &amp; Reeve Logistics, a £150m logistics business, where he runs a finance team of nine. He is CIMA qualified and has spent his career in operational finance roles in logistics and distribution.</w:t>
      </w:r>
    </w:p>
    <w:p>
      <w:pPr>
        <w:keepNext/>
        <w:spacing w:before="240" w:after="100"/>
        <w:pBdr>
          <w:bottom w:val="single" w:sz="6" w:space="4" w:color="DFE0E1"/>
        </w:pBdr>
      </w:pPr>
      <w:r>
        <w:rPr>
          <w:rFonts w:ascii="Cambria" w:hAnsi="Cambria" w:eastAsia="Cambria" w:cs="Cambria"/>
          <w:b w:val="0"/>
          <w:i w:val="0"/>
          <w:color w:val="2E3338"/>
          <w:sz w:val="24"/>
        </w:rPr>
        <w:t>Fit against the brief</w:t>
      </w:r>
    </w:p>
    <w:tbl>
      <w:tblPr>
        <w:tblLook w:firstColumn="1" w:firstRow="1" w:lastColumn="0" w:lastRow="0" w:noHBand="0" w:noVBand="1" w:val="04A0"/>
        <w:tblW w:w="975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608"/>
        <w:gridCol w:w="5897"/>
        <w:gridCol w:w="1247"/>
      </w:tblGrid>
      <w:tr>
        <w:trPr>
          <w:tblHeader/>
          <w:cantSplit/>
        </w:trPr>
        <w:tc>
          <w:tcPr>
            <w:tcW w:type="dxa" w:w="2608"/>
            <w:shd w:val="clear" w:color="auto" w:fill="2E3338"/>
            <w:vAlign w:val="center"/>
            <w:tcMar>
              <w:top w:w="70" w:type="dxa"/>
              <w:left w:w="90" w:type="dxa"/>
              <w:bottom w:w="70" w:type="dxa"/>
              <w:right w:w="90" w:type="dxa"/>
            </w:tcMar>
          </w:tcPr>
          <w:p>
            <w:pPr>
              <w:keepNext/>
              <w:spacing w:before="0" w:after="0"/>
            </w:pPr>
            <w:r>
              <w:rPr>
                <w:rFonts w:ascii="Calibri" w:hAnsi="Calibri" w:eastAsia="Calibri" w:cs="Calibri"/>
                <w:b/>
                <w:i w:val="0"/>
                <w:caps/>
                <w:color w:val="FFFFFF"/>
                <w:sz w:val="14"/>
                <w:spacing w:val="15"/>
              </w:rPr>
              <w:t>The brief asks for</w:t>
            </w:r>
          </w:p>
        </w:tc>
        <w:tc>
          <w:tcPr>
            <w:tcW w:type="dxa" w:w="5897"/>
            <w:shd w:val="clear" w:color="auto" w:fill="2E3338"/>
            <w:vAlign w:val="center"/>
            <w:tcMar>
              <w:top w:w="70" w:type="dxa"/>
              <w:left w:w="90" w:type="dxa"/>
              <w:bottom w:w="70" w:type="dxa"/>
              <w:right w:w="90" w:type="dxa"/>
            </w:tcMar>
          </w:tcPr>
          <w:p>
            <w:pPr>
              <w:keepNext/>
              <w:spacing w:before="0" w:after="0"/>
            </w:pPr>
            <w:r>
              <w:rPr>
                <w:rFonts w:ascii="Calibri" w:hAnsi="Calibri" w:eastAsia="Calibri" w:cs="Calibri"/>
                <w:b/>
                <w:i w:val="0"/>
                <w:caps/>
                <w:color w:val="FFFFFF"/>
                <w:sz w:val="14"/>
                <w:spacing w:val="15"/>
              </w:rPr>
              <w:t>What we found</w:t>
            </w:r>
          </w:p>
        </w:tc>
        <w:tc>
          <w:tcPr>
            <w:tcW w:type="dxa" w:w="1247"/>
            <w:shd w:val="clear" w:color="auto" w:fill="2E3338"/>
            <w:vAlign w:val="center"/>
            <w:tcMar>
              <w:top w:w="70" w:type="dxa"/>
              <w:left w:w="90" w:type="dxa"/>
              <w:bottom w:w="70" w:type="dxa"/>
              <w:right w:w="90" w:type="dxa"/>
            </w:tcMar>
          </w:tcPr>
          <w:p>
            <w:pPr>
              <w:keepNext/>
              <w:spacing w:before="0" w:after="0"/>
            </w:pPr>
            <w:r>
              <w:rPr>
                <w:rFonts w:ascii="Calibri" w:hAnsi="Calibri" w:eastAsia="Calibri" w:cs="Calibri"/>
                <w:b/>
                <w:i w:val="0"/>
                <w:caps/>
                <w:color w:val="FFFFFF"/>
                <w:sz w:val="14"/>
                <w:spacing w:val="15"/>
              </w:rPr>
              <w:t>Match</w:t>
            </w:r>
          </w:p>
        </w:tc>
      </w:tr>
      <w:tr>
        <w:trPr>
          <w:cantSplit/>
        </w:trPr>
        <w:tc>
          <w:tcPr>
            <w:tcW w:type="dxa" w:w="2608"/>
            <w:tcBorders>
              <w:bottom w:val="single" w:sz="4" w:space="0" w:color="DFE0E1"/>
            </w:tcBorders>
            <w:vAlign w:val="center"/>
            <w:tcMar>
              <w:top w:w="60" w:type="dxa"/>
              <w:left w:w="90" w:type="dxa"/>
              <w:bottom w:w="60" w:type="dxa"/>
              <w:right w:w="90" w:type="dxa"/>
            </w:tcMar>
          </w:tcPr>
          <w:p>
            <w:r>
              <w:rPr>
                <w:rFonts w:ascii="Calibri" w:hAnsi="Calibri" w:eastAsia="Calibri" w:cs="Calibri"/>
                <w:b/>
                <w:i w:val="0"/>
                <w:color w:val="2E3338"/>
                <w:sz w:val="17"/>
              </w:rPr>
              <w:t xml:space="preserve">Qualified accountant, ACA or ACCA</w:t>
            </w:r>
          </w:p>
        </w:tc>
        <w:tc>
          <w:tcPr>
            <w:tcW w:type="dxa" w:w="5897"/>
            <w:tcBorders>
              <w:bottom w:val="single" w:sz="4" w:space="0" w:color="DFE0E1"/>
            </w:tcBorders>
            <w:vAlign w:val="center"/>
            <w:tcMar>
              <w:top w:w="60" w:type="dxa"/>
              <w:left w:w="90" w:type="dxa"/>
              <w:bottom w:w="60" w:type="dxa"/>
              <w:right w:w="90" w:type="dxa"/>
            </w:tcMar>
          </w:tcPr>
          <w:p>
            <w:r>
              <w:rPr>
                <w:rFonts w:ascii="Calibri" w:hAnsi="Calibri" w:eastAsia="Calibri" w:cs="Calibri"/>
                <w:b w:val="0"/>
                <w:i w:val="0"/>
                <w:sz w:val="17"/>
              </w:rPr>
              <w:t xml:space="preserve">CIMA qualified; the brief asks for ACA or ACCA.</w:t>
            </w:r>
          </w:p>
        </w:tc>
        <w:tc>
          <w:tcPr>
            <w:shd w:val="clear" w:color="auto" w:fill="F2F3F3"/>
            <w:tcW w:type="dxa" w:w="1247"/>
            <w:tcBorders>
              <w:top w:val="single" w:sz="18" w:space="0" w:color="FFFFFF"/>
              <w:left w:val="single" w:sz="18" w:space="0" w:color="FFFFFF"/>
              <w:bottom w:val="single" w:sz="4" w:space="0" w:color="DFE0E1"/>
              <w:right w:val="single" w:sz="18" w:space="0" w:color="FFFFFF"/>
            </w:tcBorders>
            <w:tcMar>
              <w:top w:w="50" w:type="dxa"/>
              <w:left w:w="60" w:type="dxa"/>
              <w:bottom w:w="50" w:type="dxa"/>
              <w:right w:w="60" w:type="dxa"/>
            </w:tcMar>
            <w:vAlign w:val="center"/>
          </w:tcPr>
          <w:p>
            <w:pPr>
              <w:spacing w:before="0" w:after="0"/>
              <w:jc w:val="center"/>
            </w:pPr>
            <w:r>
              <w:rPr>
                <w:rFonts w:ascii="Calibri" w:hAnsi="Calibri" w:eastAsia="Calibri" w:cs="Calibri"/>
                <w:b/>
                <w:i w:val="0"/>
                <w:color w:val="FFFFFF"/>
                <w:sz w:val="17"/>
              </w:rPr>
              <w:t xml:space="preserve"/>
            </w:r>
            <w:r>
              <w:rPr>
                <w:rFonts w:ascii="Calibri" w:hAnsi="Calibri" w:eastAsia="Calibri" w:cs="Calibri"/>
                <w:b w:val="0"/>
                <w:i/>
                <w:color w:val="6B6D70"/>
                <w:sz w:val="16"/>
              </w:rPr>
              <w:t xml:space="preserve">To assess</w:t>
            </w:r>
          </w:p>
        </w:tc>
      </w:tr>
      <w:tr>
        <w:trPr>
          <w:cantSplit/>
        </w:trPr>
        <w:tc>
          <w:tcPr>
            <w:tcW w:type="dxa" w:w="2608"/>
            <w:tcBorders>
              <w:bottom w:val="single" w:sz="4" w:space="0" w:color="DFE0E1"/>
            </w:tcBorders>
            <w:vAlign w:val="center"/>
            <w:tcMar>
              <w:top w:w="60" w:type="dxa"/>
              <w:left w:w="90" w:type="dxa"/>
              <w:bottom w:w="60" w:type="dxa"/>
              <w:right w:w="90" w:type="dxa"/>
            </w:tcMar>
          </w:tcPr>
          <w:p>
            <w:r>
              <w:rPr>
                <w:rFonts w:ascii="Calibri" w:hAnsi="Calibri" w:eastAsia="Calibri" w:cs="Calibri"/>
                <w:b/>
                <w:i w:val="0"/>
                <w:color w:val="2E3338"/>
                <w:sz w:val="17"/>
              </w:rPr>
              <w:t xml:space="preserve">Multi-entity group consolidation</w:t>
            </w:r>
          </w:p>
        </w:tc>
        <w:tc>
          <w:tcPr>
            <w:tcW w:type="dxa" w:w="5897"/>
            <w:tcBorders>
              <w:bottom w:val="single" w:sz="4" w:space="0" w:color="DFE0E1"/>
            </w:tcBorders>
            <w:vAlign w:val="center"/>
            <w:tcMar>
              <w:top w:w="60" w:type="dxa"/>
              <w:left w:w="90" w:type="dxa"/>
              <w:bottom w:w="60" w:type="dxa"/>
              <w:right w:w="90" w:type="dxa"/>
            </w:tcMar>
          </w:tcPr>
          <w:p>
            <w:r>
              <w:rPr>
                <w:rFonts w:ascii="Calibri" w:hAnsi="Calibri" w:eastAsia="Calibri" w:cs="Calibri"/>
                <w:b w:val="0"/>
                <w:i w:val="0"/>
                <w:sz w:val="17"/>
              </w:rPr>
              <w:t xml:space="preserve">Single-entity business with no consolidation stated in the CV.</w:t>
            </w:r>
          </w:p>
        </w:tc>
        <w:tc>
          <w:tcPr>
            <w:shd w:val="clear" w:color="auto" w:fill="F2F3F3"/>
            <w:tcW w:type="dxa" w:w="1247"/>
            <w:tcBorders>
              <w:top w:val="single" w:sz="18" w:space="0" w:color="FFFFFF"/>
              <w:left w:val="single" w:sz="18" w:space="0" w:color="FFFFFF"/>
              <w:bottom w:val="single" w:sz="4" w:space="0" w:color="DFE0E1"/>
              <w:right w:val="single" w:sz="18" w:space="0" w:color="FFFFFF"/>
            </w:tcBorders>
            <w:tcMar>
              <w:top w:w="50" w:type="dxa"/>
              <w:left w:w="60" w:type="dxa"/>
              <w:bottom w:w="50" w:type="dxa"/>
              <w:right w:w="60" w:type="dxa"/>
            </w:tcMar>
            <w:vAlign w:val="center"/>
          </w:tcPr>
          <w:p>
            <w:pPr>
              <w:spacing w:before="0" w:after="0"/>
              <w:jc w:val="center"/>
            </w:pPr>
            <w:r>
              <w:rPr>
                <w:rFonts w:ascii="Calibri" w:hAnsi="Calibri" w:eastAsia="Calibri" w:cs="Calibri"/>
                <w:b/>
                <w:i w:val="0"/>
                <w:color w:val="FFFFFF"/>
                <w:sz w:val="17"/>
              </w:rPr>
              <w:t xml:space="preserve"/>
            </w:r>
            <w:r>
              <w:rPr>
                <w:rFonts w:ascii="Calibri" w:hAnsi="Calibri" w:eastAsia="Calibri" w:cs="Calibri"/>
                <w:b w:val="0"/>
                <w:i/>
                <w:color w:val="6B6D70"/>
                <w:sz w:val="16"/>
              </w:rPr>
              <w:t xml:space="preserve">To assess</w:t>
            </w:r>
          </w:p>
        </w:tc>
      </w:tr>
    </w:tbl>
    <w:p>
      <w:pPr>
        <w:spacing w:before="60" w:after="0"/>
      </w:pPr>
      <w:r>
        <w:rPr>
          <w:rFonts w:ascii="Calibri" w:hAnsi="Calibri" w:eastAsia="Calibri" w:cs="Calibri"/>
          <w:b w:val="0"/>
          <w:i w:val="0"/>
          <w:color w:val="6B6D70"/>
          <w:sz w:val="15"/>
        </w:rPr>
        <w:t>Match:  Strong  ·  Good  ·  Partial  ·  Gap  ·  To assess (not yet covered at interview)</w:t>
      </w:r>
    </w:p>
    <w:p>
      <w:pPr>
        <w:spacing w:before="0" w:after="0" w:line="200" w:lineRule="exact"/>
      </w:pPr>
      <w:r>
        <w:rPr>
          <w:rFonts w:ascii="Calibri" w:hAnsi="Calibri" w:eastAsia="Calibri" w:cs="Calibri"/>
          <w:b w:val="0"/>
          <w:i w:val="0"/>
          <w:sz w:val="2"/>
        </w:rPr>
      </w:r>
    </w:p>
    <w:tbl>
      <w:tblPr>
        <w:tblLook w:firstColumn="1" w:firstRow="1" w:lastColumn="0" w:lastRow="0" w:noHBand="0" w:noVBand="1" w:val="04A0"/>
        <w:tblW w:w="975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706"/>
        <w:gridCol w:w="340"/>
        <w:gridCol w:w="4706"/>
      </w:tblGrid>
      <w:tr>
        <w:tc>
          <w:tcPr>
            <w:tcW w:type="dxa" w:w="4706"/>
            <w:vAlign w:val="top"/>
          </w:tcPr>
          <w:p>
            <w:pPr>
              <w:spacing w:before="0" w:after="0" w:line="2" w:lineRule="exact"/>
            </w:pPr>
            <w:r>
              <w:rPr>
                <w:rFonts w:ascii="Calibri" w:hAnsi="Calibri" w:eastAsia="Calibri" w:cs="Calibri"/>
                <w:b w:val="0"/>
                <w:i w:val="0"/>
                <w:sz w:val="2"/>
              </w:rPr>
            </w:r>
          </w:p>
        </w:tc>
        <w:tc>
          <w:tcPr>
            <w:tcW w:type="dxa" w:w="340"/>
          </w:tcPr>
          <w:p/>
        </w:tc>
        <w:tc>
          <w:tcPr>
            <w:tcW w:type="dxa" w:w="4706"/>
            <w:vAlign w:val="top"/>
          </w:tcPr>
          <w:p>
            <w:pPr>
              <w:keepNext/>
              <w:spacing w:before="0" w:after="60"/>
            </w:pPr>
            <w:r>
              <w:rPr>
                <w:rFonts w:ascii="Calibri" w:hAnsi="Calibri" w:eastAsia="Calibri" w:cs="Calibri"/>
                <w:b/>
                <w:i w:val="0"/>
                <w:caps/>
                <w:color w:val="5F6B77"/>
                <w:sz w:val="15"/>
                <w:spacing w:val="30"/>
              </w:rPr>
              <w:t>Next steps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8"/>
              </w:rPr>
              <w:tab/>
            </w:r>
            <w:r>
              <w:rPr>
                <w:rFonts w:ascii="Calibri" w:hAnsi="Calibri" w:eastAsia="Calibri" w:cs="Calibri"/>
                <w:b w:val="0"/>
                <w:i w:val="0"/>
                <w:color w:val="1F2226"/>
                <w:sz w:val="18"/>
              </w:rPr>
              <w:t xml:space="preserve">Full screening call booked for 16 October</w:t>
            </w:r>
          </w:p>
          <w:p>
            <w:pPr>
              <w:spacing w:before="0" w:after="0" w:line="2" w:lineRule="exact"/>
            </w:pPr>
            <w:r>
              <w:rPr>
                <w:rFonts w:ascii="Calibri" w:hAnsi="Calibri" w:eastAsia="Calibri" w:cs="Calibri"/>
                <w:b w:val="0"/>
                <w:i w:val="0"/>
                <w:sz w:val="2"/>
              </w:rPr>
            </w:r>
          </w:p>
        </w:tc>
      </w:tr>
    </w:tbl>
    <w:p>
      <w:pPr>
        <w:spacing w:before="0" w:after="0" w:line="2" w:lineRule="exact"/>
      </w:pPr>
      <w:r>
        <w:rPr>
          <w:rFonts w:ascii="Calibri" w:hAnsi="Calibri" w:eastAsia="Calibri" w:cs="Calibri"/>
          <w:b w:val="0"/>
          <w:i w:val="0"/>
          <w:sz w:val="2"/>
        </w:rPr>
      </w:r>
    </w:p>
    <w:sectPr w:rsidR="00FC693F" w:rsidRPr="0006063C" w:rsidSect="00034616">
      <w:headerReference w:type="default" r:id="rId9"/>
      <w:footerReference w:type="default" r:id="rId10"/>
      <w:pgSz w:w="11906" w:h="16838"/>
      <w:pgMar w:top="964" w:right="1077" w:bottom="850" w:left="1077" w:header="397"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6" w:space="6" w:color="DFE0E1"/>
      </w:pBdr>
    </w:pPr>
    <w:r/>
    <w:r>
      <w:rPr>
        <w:rFonts w:ascii="Calibri" w:hAnsi="Calibri" w:eastAsia="Calibri" w:cs="Calibri"/>
        <w:b w:val="0"/>
        <w:i w:val="0"/>
        <w:color w:val="6B6D70"/>
        <w:sz w:val="14"/>
      </w:rPr>
      <w:t>The consultant’s assessment from interview. Compensation and notice as stated by the candidate.</w:t>
    </w:r>
  </w:p>
  <w:p>
    <w:pPr>
      <w:tabs>
        <w:tab w:pos="9752" w:val="right"/>
      </w:tabs>
      <w:spacing w:before="40" w:after="0"/>
    </w:pPr>
    <w:r>
      <w:rPr>
        <w:rFonts w:ascii="Calibri" w:hAnsi="Calibri" w:eastAsia="Calibri" w:cs="Calibri"/>
        <w:b w:val="0"/>
        <w:i w:val="0"/>
        <w:color w:val="6B6D70"/>
        <w:sz w:val="14"/>
      </w:rPr>
      <w:t>Template by Formatix.AI — formatix.ai/templates</w:t>
    </w:r>
    <w:r>
      <w:rPr>
        <w:rFonts w:ascii="Calibri" w:hAnsi="Calibri" w:eastAsia="Calibri" w:cs="Calibri"/>
        <w:b w:val="0"/>
        <w:i w:val="0"/>
        <w:sz w:val="14"/>
      </w:rPr>
      <w:tab/>
    </w:r>
    <w:r>
      <w:rPr>
        <w:rFonts w:ascii="Calibri" w:hAnsi="Calibri" w:eastAsia="Calibri" w:cs="Calibri"/>
        <w:b w:val="0"/>
        <w:i w:val="0"/>
        <w:color w:val="6B6D70"/>
        <w:sz w:val="14"/>
      </w:rPr>
      <w:t xml:space="preserve">Page </w:t>
    </w:r>
    <w:r>
      <w:rPr>
        <w:rFonts w:ascii="Calibri" w:hAnsi="Calibri"/>
        <w:color w:val="6B6D70"/>
        <w:sz w:val="14"/>
      </w:rPr>
      <w:fldChar w:fldCharType="begin"/>
      <w:instrText xml:space="preserve"> PAGE </w:instrText>
      <w:fldChar w:fldCharType="separate"/>
      <w:t>1</w:t>
      <w:fldChar w:fldCharType="end"/>
    </w:r>
    <w:r>
      <w:rPr>
        <w:rFonts w:ascii="Calibri" w:hAnsi="Calibri" w:eastAsia="Calibri" w:cs="Calibri"/>
        <w:b w:val="0"/>
        <w:i w:val="0"/>
        <w:color w:val="6B6D70"/>
        <w:sz w:val="14"/>
      </w:rPr>
      <w:t xml:space="preserve"> of </w:t>
    </w:r>
    <w:r>
      <w:rPr>
        <w:rFonts w:ascii="Calibri" w:hAnsi="Calibri"/>
        <w:color w:val="6B6D70"/>
        <w:sz w:val="14"/>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752" w:val="right"/>
      </w:tabs>
      <w:pBdr>
        <w:bottom w:val="single" w:sz="6" w:space="6" w:color="DFE0E1"/>
      </w:pBdr>
    </w:pPr>
    <w:r/>
    <w:r>
      <w:drawing>
        <wp:inline xmlns:a="http://schemas.openxmlformats.org/drawingml/2006/main" xmlns:pic="http://schemas.openxmlformats.org/drawingml/2006/picture">
          <wp:extent cx="792000" cy="198000"/>
          <wp:docPr id="1" name="Picture 1"/>
          <wp:cNvGraphicFramePr>
            <a:graphicFrameLocks noChangeAspect="1"/>
          </wp:cNvGraphicFramePr>
          <a:graphic>
            <a:graphicData uri="http://schemas.openxmlformats.org/drawingml/2006/picture">
              <pic:pic>
                <pic:nvPicPr>
                  <pic:cNvPr id="0" name="your_logo.png"/>
                  <pic:cNvPicPr/>
                </pic:nvPicPr>
                <pic:blipFill>
                  <a:blip r:embed="rId1"/>
                  <a:stretch>
                    <a:fillRect/>
                  </a:stretch>
                </pic:blipFill>
                <pic:spPr>
                  <a:xfrm>
                    <a:off x="0" y="0"/>
                    <a:ext cx="792000" cy="198000"/>
                  </a:xfrm>
                  <a:prstGeom prst="rect"/>
                </pic:spPr>
              </pic:pic>
            </a:graphicData>
          </a:graphic>
        </wp:inline>
      </w:drawing>
    </w:r>
    <w:r>
      <w:rPr>
        <w:rFonts w:ascii="Calibri" w:hAnsi="Calibri" w:eastAsia="Calibri" w:cs="Calibri"/>
        <w:b w:val="0"/>
        <w:i w:val="0"/>
      </w:rPr>
      <w:tab/>
    </w:r>
    <w:r>
      <w:rPr>
        <w:rFonts w:ascii="Calibri" w:hAnsi="Calibri" w:eastAsia="Calibri" w:cs="Calibri"/>
        <w:b/>
        <w:i w:val="0"/>
        <w:caps/>
        <w:color w:val="5F6B77"/>
        <w:sz w:val="15"/>
        <w:spacing w:val="20"/>
      </w:rPr>
      <w:t>Candidate report  ·  Confidential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0" w:line="254" w:lineRule="auto"/>
    </w:pPr>
    <w:rPr>
      <w:rFonts w:ascii="Calibri" w:hAnsi="Calibri" w:eastAsia="Calibri"/>
      <w:color w:val="1F2226"/>
      <w:sz w:val="19"/>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olor w:val="1F2226"/>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Candidate Report</dc:title>
  <dc:subject>Recruitment template</dc:subject>
  <dc:creator>Your Firm</dc:creator>
  <cp:keywords/>
  <dc:description>Example filled with a fictional candidate. Overwrite it with your own.</dc:description>
  <cp:lastModifiedBy>Your Firm</cp:lastModifiedBy>
  <cp:revision>1</cp:revision>
  <dcterms:created xsi:type="dcterms:W3CDTF">2013-12-23T23:15:00Z</dcterms:created>
  <dcterms:modified xsi:type="dcterms:W3CDTF">2013-12-23T23:15:00Z</dcterms:modified>
  <cp:category>Template</cp:category>
  <dc:identifier/>
  <dc:language/>
</cp:coreProperties>
</file>