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  <w:ind w:left="1928" w:right="1928"/>
        <w:jc w:val="center"/>
      </w:pPr>
      <w:r>
        <w:rPr>
          <w:rFonts w:ascii="Cambria" w:hAnsi="Cambria" w:eastAsia="Cambria" w:cs="Cambria"/>
          <w:b w:val="0"/>
          <w:i w:val="0"/>
          <w:color w:val="2E3338"/>
          <w:sz w:val="50"/>
        </w:rPr>
        <w:t xml:space="preserve">Hannah Whitcombe</w:t>
      </w:r>
      <w:r>
        <w:rPr>
          <w:rFonts w:ascii="Calibri" w:hAnsi="Calibri" w:eastAsia="Calibri" w:cs="Calibri"/>
          <w:b w:val="0"/>
          <w:i w:val="0"/>
          <w:sz w:val="2"/>
        </w:rPr>
        <w:t xml:space="preserve"/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-72000</wp:posOffset>
            </wp:positionV>
            <wp:extent cx="1080000" cy="1080000"/>
            <wp:effectExtent l="0" t="0" r="0" b="0"/>
            <wp:wrapNone/>
            <wp:docPr id="1001" name="Candidate photo 901"/>
            <wp:cNvGraphicFramePr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0" w:lineRule="auto"/>
                          <w:jc w:val="center"/>
                          <w:rPr>
                            <w:sz w:val="2"/>
                          </w:rPr>
                        </w:pPr>
                        <w:r>
                          <w:rPr>
                            <w:sz w:val="2"/>
                          </w:rPr>
                          <w:t xml:space="preserve"/>
                        </w:r>
                        <w:r>
                          <w:drawing>
                            <wp:inline xmlns:pic="http://schemas.openxmlformats.org/drawingml/2006/picture">
                              <wp:extent cx="1080000" cy="1080000"/>
                              <wp:docPr id="1002" name="Picture 902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hannah-whitcombe-round.pn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80000" cy="1080000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 xml:space="preserve"/>
                        </w:r>
                      </w:p>
                    </w:txbxContent>
                  </wps:txbx>
                  <wps:bodyPr rot="0" vert="horz" wrap="squar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rPr>
          <w:rFonts w:ascii="Calibri" w:hAnsi="Calibri" w:eastAsia="Calibri" w:cs="Calibri"/>
          <w:b w:val="0"/>
          <w:i w:val="0"/>
          <w:sz w:val="2"/>
        </w:rPr>
        <w:t xml:space="preserve"/>
      </w:r>
    </w:p>
    <w:p>
      <w:pPr>
        <w:spacing w:before="0" w:after="60"/>
        <w:ind w:left="1928" w:right="1928"/>
        <w:jc w:val="center"/>
      </w:pPr>
      <w:r>
        <w:rPr>
          <w:rFonts w:ascii="Calibri" w:hAnsi="Calibri" w:eastAsia="Calibri" w:cs="Calibri"/>
          <w:b/>
          <w:i w:val="0"/>
          <w:color w:val="5F6B77"/>
          <w:sz w:val="22"/>
        </w:rPr>
        <w:t xml:space="preserve">Chief Financial Officer</w:t>
      </w:r>
      <w:r>
        <w:rPr>
          <w:rFonts w:ascii="Calibri" w:hAnsi="Calibri" w:eastAsia="Calibri" w:cs="Calibri"/>
          <w:b w:val="0"/>
          <w:i w:val="0"/>
          <w:color w:val="1F2226"/>
          <w:sz w:val="22"/>
        </w:rPr>
        <w:t xml:space="preserve">  ·  Calder &amp; Finch Group</w:t>
      </w:r>
    </w:p>
    <w:p>
      <w:pPr>
        <w:spacing w:before="0" w:after="240"/>
        <w:ind w:left="1928" w:right="1928"/>
        <w:jc w:val="center"/>
      </w:pP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Bristol, UK   ·   21 years' experience   ·   Notice: 3 months</w:t>
      </w:r>
    </w:p>
    <w:p>
      <w:pPr>
        <w:spacing w:before="160" w:after="0"/>
        <w:jc w:val="center"/>
        <w:pBdr>
          <w:top w:val="single" w:sz="8" w:space="1" w:color="5F6B77"/>
        </w:pBdr>
      </w:pPr>
      <w:r>
        <w:rPr>
          <w:rFonts w:ascii="Calibri" w:hAnsi="Calibri" w:eastAsia="Calibri" w:cs="Calibri"/>
          <w:b w:val="0"/>
          <w:i w:val="0"/>
          <w:sz w:val="4"/>
        </w:rPr>
      </w:r>
    </w:p>
    <w:p>
      <w:pPr>
        <w:spacing w:before="40" w:after="80"/>
        <w:jc w:val="center"/>
      </w:pPr>
      <w:r>
        <w:rPr>
          <w:rFonts w:ascii="Cambria" w:hAnsi="Cambria" w:eastAsia="Cambria" w:cs="Cambria"/>
          <w:b w:val="0"/>
          <w:i/>
          <w:color w:val="1F2226"/>
          <w:sz w:val="23"/>
        </w:rPr>
        <w:t xml:space="preserve">A listed-company CFO who has led a £780m building-products group through a refinancing, two acquisitions and a finance transformation.</w:t>
      </w:r>
    </w:p>
    <w:p>
      <w:pPr>
        <w:keepNext/>
        <w:spacing w:before="120" w:after="8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Profile</w:t>
      </w:r>
    </w:p>
    <w:p>
      <w:pPr>
        <w:spacing w:before="0" w:after="40"/>
        <w:jc w:val="both"/>
      </w:pPr>
      <w:r>
        <w:rPr>
          <w:rFonts w:ascii="Calibri" w:hAnsi="Calibri" w:eastAsia="Calibri" w:cs="Calibri"/>
          <w:b w:val="0"/>
          <w:i w:val="0"/>
        </w:rPr>
        <w:t xml:space="preserve">Hannah is Chief Financial Officer of Calder &amp; Finch Group, a £780m building-products manufacturer listed on the Main Market, where she leads a 120-strong finance, tax and treasury function across the UK and Ireland. Over two decades she has moved from audit into operational finance and then group roles, leading a £250m refinancing, two acquisitions and a move to a single ERP. She is known for cash discipline, clear investor communication and building finance teams that partner the business.</w:t>
      </w:r>
    </w:p>
    <w:p>
      <w:pPr>
        <w:keepNext/>
        <w:spacing w:before="200" w:after="8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Career highlights</w:t>
      </w:r>
    </w:p>
    <w:p>
      <w:pPr>
        <w:pStyle w:val="ListBullet"/>
        <w:spacing w:before="0" w:after="50"/>
        <w:ind w:left="283" w:hanging="198"/>
      </w:pPr>
      <w:r>
        <w:rPr>
          <w:rFonts w:ascii="Calibri" w:hAnsi="Calibri" w:eastAsia="Calibri" w:cs="Calibri"/>
          <w:b w:val="0"/>
          <w:i w:val="0"/>
        </w:rPr>
        <w:t xml:space="preserve">Led the £250m refinancing that extended debt maturities to 2031 and cut interest cost by 90bps</w:t>
      </w:r>
    </w:p>
    <w:p>
      <w:pPr>
        <w:pStyle w:val="ListBullet"/>
        <w:spacing w:before="0" w:after="50"/>
        <w:ind w:left="283" w:hanging="198"/>
      </w:pPr>
      <w:r>
        <w:rPr>
          <w:rFonts w:ascii="Calibri" w:hAnsi="Calibri" w:eastAsia="Calibri" w:cs="Calibri"/>
          <w:b w:val="0"/>
          <w:i w:val="0"/>
        </w:rPr>
        <w:t xml:space="preserve">Completed and integrated two bolt-on acquisitions worth £140m, both earnings-accretive in year one</w:t>
      </w:r>
    </w:p>
    <w:p>
      <w:pPr>
        <w:pStyle w:val="ListBullet"/>
        <w:spacing w:before="0" w:after="50"/>
        <w:ind w:left="283" w:hanging="198"/>
      </w:pPr>
      <w:r>
        <w:rPr>
          <w:rFonts w:ascii="Calibri" w:hAnsi="Calibri" w:eastAsia="Calibri" w:cs="Calibri"/>
          <w:b w:val="0"/>
          <w:i w:val="0"/>
        </w:rPr>
        <w:t xml:space="preserve">Released £38m of working capital in 18 months through a group-wide cash programme</w:t>
      </w:r>
    </w:p>
    <w:p>
      <w:pPr>
        <w:keepNext/>
        <w:spacing w:before="200" w:after="8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Professional experience</w:t>
      </w:r>
    </w:p>
    <w:p>
      <w:pPr>
        <w:keepNext/>
        <w:tabs>
          <w:tab w:pos="9412" w:val="right"/>
        </w:tabs>
        <w:spacing w:before="140" w:after="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 xml:space="preserve">Calder &amp; Finch Group plc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May 2020 – Present</w:t>
      </w:r>
    </w:p>
    <w:p>
      <w:pPr>
        <w:keepNext/>
        <w:spacing w:before="0" w:after="60"/>
      </w:pPr>
      <w:r>
        <w:rPr>
          <w:rFonts w:ascii="Calibri" w:hAnsi="Calibri" w:eastAsia="Calibri" w:cs="Calibri"/>
          <w:b w:val="0"/>
          <w:i/>
          <w:color w:val="1F2226"/>
          <w:sz w:val="20"/>
        </w:rPr>
        <w:t xml:space="preserve">Chief Financial Officer</w:t>
      </w: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  ·  Bristol, UK</w:t>
      </w:r>
    </w:p>
    <w:p>
      <w:pPr>
        <w:pStyle w:val="ListBullet"/>
        <w:spacing w:before="0" w:after="30"/>
        <w:ind w:left="283" w:hanging="198"/>
      </w:pPr>
      <w:r>
        <w:rPr>
          <w:rFonts w:ascii="Calibri" w:hAnsi="Calibri" w:eastAsia="Calibri" w:cs="Calibri"/>
          <w:b w:val="0"/>
          <w:i w:val="0"/>
          <w:sz w:val="19"/>
        </w:rPr>
        <w:t xml:space="preserve">Leads finance, tax, treasury, investor relations and IT across 11 manufacturing sites</w:t>
      </w:r>
    </w:p>
    <w:p>
      <w:pPr>
        <w:pStyle w:val="ListBullet"/>
        <w:spacing w:before="0" w:after="30"/>
        <w:ind w:left="283" w:hanging="198"/>
      </w:pPr>
      <w:r>
        <w:rPr>
          <w:rFonts w:ascii="Calibri" w:hAnsi="Calibri" w:eastAsia="Calibri" w:cs="Calibri"/>
          <w:b w:val="0"/>
          <w:i w:val="0"/>
          <w:sz w:val="19"/>
        </w:rPr>
        <w:t xml:space="preserve">Led the £250m refinancing and a £60m share buyback programme</w:t>
      </w:r>
    </w:p>
    <w:p>
      <w:pPr>
        <w:pStyle w:val="ListBullet"/>
        <w:spacing w:before="0" w:after="30"/>
        <w:ind w:left="283" w:hanging="198"/>
      </w:pPr>
      <w:r>
        <w:rPr>
          <w:rFonts w:ascii="Calibri" w:hAnsi="Calibri" w:eastAsia="Calibri" w:cs="Calibri"/>
          <w:b w:val="0"/>
          <w:i w:val="0"/>
          <w:sz w:val="19"/>
        </w:rPr>
        <w:t xml:space="preserve">Delivered a single-ERP programme on time and 6% under its £14m budget</w:t>
      </w:r>
    </w:p>
    <w:p>
      <w:pPr>
        <w:keepNext/>
        <w:tabs>
          <w:tab w:pos="9412" w:val="right"/>
        </w:tabs>
        <w:spacing w:before="140" w:after="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 xml:space="preserve">Harrowgate Industrial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March 2015 – April 2020</w:t>
      </w:r>
    </w:p>
    <w:p>
      <w:pPr>
        <w:keepNext/>
        <w:spacing w:before="0" w:after="60"/>
      </w:pPr>
      <w:r>
        <w:rPr>
          <w:rFonts w:ascii="Calibri" w:hAnsi="Calibri" w:eastAsia="Calibri" w:cs="Calibri"/>
          <w:b w:val="0"/>
          <w:i/>
          <w:color w:val="1F2226"/>
          <w:sz w:val="20"/>
        </w:rPr>
        <w:t xml:space="preserve">Group Financial Controller</w:t>
      </w: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  ·  Birmingham, UK</w:t>
      </w:r>
    </w:p>
    <w:p>
      <w:pPr>
        <w:pStyle w:val="ListBullet"/>
        <w:spacing w:before="0" w:after="30"/>
        <w:ind w:left="283" w:hanging="198"/>
      </w:pPr>
      <w:r>
        <w:rPr>
          <w:rFonts w:ascii="Calibri" w:hAnsi="Calibri" w:eastAsia="Calibri" w:cs="Calibri"/>
          <w:b w:val="0"/>
          <w:i w:val="0"/>
          <w:sz w:val="19"/>
        </w:rPr>
        <w:t xml:space="preserve">Ran group reporting, planning and controls for a £1.1bn industrial distributor</w:t>
      </w:r>
    </w:p>
    <w:p>
      <w:pPr>
        <w:pStyle w:val="ListBullet"/>
        <w:spacing w:before="0" w:after="30"/>
        <w:ind w:left="283" w:hanging="198"/>
      </w:pPr>
      <w:r>
        <w:rPr>
          <w:rFonts w:ascii="Calibri" w:hAnsi="Calibri" w:eastAsia="Calibri" w:cs="Calibri"/>
          <w:b w:val="0"/>
          <w:i w:val="0"/>
          <w:sz w:val="19"/>
        </w:rPr>
        <w:t xml:space="preserve">Rebuilt budgeting around driver-based rolling forecasts</w:t>
      </w:r>
    </w:p>
    <w:p>
      <w:pPr>
        <w:keepNext/>
        <w:tabs>
          <w:tab w:pos="9412" w:val="right"/>
        </w:tabs>
        <w:spacing w:before="140" w:after="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 xml:space="preserve">Harrowgate Industrial</w:t>
      </w:r>
      <w:r>
        <w:rPr>
          <w:rFonts w:ascii="Calibri" w:hAnsi="Calibri" w:eastAsia="Calibri" w:cs="Calibri"/>
          <w:b w:val="0"/>
          <w:i w:val="0"/>
        </w:rPr>
        <w:tab/>
      </w:r>
      <w:r>
        <w:rPr>
          <w:rFonts w:ascii="Calibri" w:hAnsi="Calibri" w:eastAsia="Calibri" w:cs="Calibri"/>
          <w:b/>
          <w:i w:val="0"/>
          <w:color w:val="5F6B77"/>
          <w:sz w:val="18"/>
        </w:rPr>
        <w:t xml:space="preserve">January 2012 – February 2015</w:t>
      </w:r>
    </w:p>
    <w:p>
      <w:pPr>
        <w:keepNext/>
        <w:spacing w:before="0" w:after="60"/>
      </w:pPr>
      <w:r>
        <w:rPr>
          <w:rFonts w:ascii="Calibri" w:hAnsi="Calibri" w:eastAsia="Calibri" w:cs="Calibri"/>
          <w:b w:val="0"/>
          <w:i/>
          <w:color w:val="1F2226"/>
          <w:sz w:val="20"/>
        </w:rPr>
        <w:t xml:space="preserve">Head of FP&amp;A</w:t>
      </w: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  ·  Birmingham, UK</w:t>
      </w:r>
    </w:p>
    <w:p>
      <w:pPr>
        <w:pStyle w:val="ListBullet"/>
        <w:spacing w:before="0" w:after="30"/>
        <w:ind w:left="283" w:hanging="198"/>
      </w:pPr>
      <w:r>
        <w:rPr>
          <w:rFonts w:ascii="Calibri" w:hAnsi="Calibri" w:eastAsia="Calibri" w:cs="Calibri"/>
          <w:b w:val="0"/>
          <w:i w:val="0"/>
          <w:sz w:val="19"/>
        </w:rPr>
        <w:t xml:space="preserve">Built the group FP&amp;A team and monthly performance pack for the executive committee</w:t>
      </w:r>
    </w:p>
    <w:p>
      <w:pPr>
        <w:spacing w:before="120" w:after="0"/>
      </w:pPr>
      <w:r>
        <w:rPr>
          <w:rFonts w:ascii="Calibri" w:hAnsi="Calibri" w:eastAsia="Calibri" w:cs="Calibri"/>
          <w:b/>
          <w:i w:val="0"/>
          <w:color w:val="5F6B77"/>
          <w:sz w:val="17"/>
        </w:rPr>
        <w:t xml:space="preserve">Earlier career  </w:t>
      </w:r>
      <w:r>
        <w:rPr>
          <w:rFonts w:ascii="Calibri" w:hAnsi="Calibri" w:eastAsia="Calibri" w:cs="Calibri"/>
          <w:b w:val="0"/>
          <w:i w:val="0"/>
          <w:color w:val="6B6D70"/>
          <w:sz w:val="18"/>
        </w:rPr>
        <w:t xml:space="preserve">Audit Senior Manager, Pemberton Hale LLP (2004 - 2011)</w:t>
      </w:r>
    </w:p>
    <w:p>
      <w:pPr>
        <w:keepNext/>
        <w:spacing w:before="200" w:after="8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Education, skills and languages</w:t>
      </w:r>
    </w:p>
    <w:tbl>
      <w:tblPr>
        <w:tblLook w:firstColumn="1" w:firstRow="1" w:lastColumn="0" w:lastRow="0" w:noHBand="0" w:noVBand="1" w:val="04A0"/>
        <w:tblW w:w="941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309"/>
        <w:gridCol w:w="454"/>
        <w:gridCol w:w="4650"/>
      </w:tblGrid>
      <w:tr>
        <w:trPr>
          <w:cantSplit/>
        </w:trPr>
        <w:tc>
          <w:tcPr>
            <w:tcW w:type="dxa" w:w="4309"/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Education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ACA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ICAEW  ·  2007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BSc (Hons), Mathematics &amp; Economics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D70"/>
                <w:sz w:val="18"/>
              </w:rPr>
              <w:t xml:space="preserve">University of Warwick  ·  2004</w:t>
            </w:r>
          </w:p>
          <w:p>
            <w:pPr>
              <w:spacing w:before="120" w:after="2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Certifications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Non-Executive Director Diploma, 2023</w:t>
            </w:r>
          </w:p>
        </w:tc>
        <w:tc>
          <w:tcPr>
            <w:tcW w:type="dxa" w:w="454"/>
          </w:tcPr>
          <w:p/>
        </w:tc>
        <w:tc>
          <w:tcPr>
            <w:tcW w:type="dxa" w:w="4650"/>
            <w:vAlign w:val="top"/>
          </w:tcPr>
          <w:p>
            <w:pPr>
              <w:spacing w:before="0" w:after="4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Core competencies</w:t>
            </w:r>
          </w:p>
          <w:p>
            <w:pPr>
              <w:spacing w:before="6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Financial Strategy  ·  Capital Markets  ·  M&amp;A and Integration  ·  Investor Relations  ·  Treasury  ·  Finance Transformation  ·  Board Reporting</w:t>
            </w:r>
          </w:p>
          <w:p>
            <w:pPr>
              <w:spacing w:before="120" w:after="2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Systems and methods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SAP S/4HANA, Anaplan, Power BI, IFRS 16</w:t>
            </w:r>
          </w:p>
          <w:p>
            <w:pPr>
              <w:spacing w:before="120" w:after="20"/>
            </w:pPr>
            <w:r>
              <w:rPr>
                <w:rFonts w:ascii="Calibri" w:hAnsi="Calibri" w:eastAsia="Calibri" w:cs="Calibri"/>
                <w:b/>
                <w:i w:val="0"/>
                <w:caps/>
                <w:color w:val="5F6B77"/>
                <w:sz w:val="15"/>
                <w:spacing w:val="30"/>
              </w:rPr>
              <w:t>Languages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English (native)  ·  French (professional)</w:t>
            </w:r>
          </w:p>
        </w:tc>
      </w:tr>
    </w:tbl>
    <w:p>
      <w:pPr>
        <w:keepNext/>
        <w:spacing w:before="200" w:after="80"/>
        <w:pBdr>
          <w:bottom w:val="single" w:sz="6" w:space="3" w:color="DFE0E1"/>
        </w:pBdr>
      </w:pPr>
      <w:r>
        <w:rPr>
          <w:rFonts w:ascii="Cambria" w:hAnsi="Cambria" w:eastAsia="Cambria" w:cs="Cambria"/>
          <w:b w:val="0"/>
          <w:i w:val="0"/>
          <w:color w:val="2E3338"/>
          <w:sz w:val="25"/>
        </w:rPr>
        <w:t>Consultant’s view</w:t>
      </w:r>
    </w:p>
    <w:p>
      <w:pPr>
        <w:spacing w:before="0" w:after="40"/>
        <w:pBdr>
          <w:left w:val="single" w:sz="18" w:space="8" w:color="5F6B77"/>
        </w:pBdr>
      </w:pPr>
      <w:r>
        <w:rPr>
          <w:rFonts w:ascii="Cambria" w:hAnsi="Cambria" w:eastAsia="Cambria" w:cs="Cambria"/>
          <w:b w:val="0"/>
          <w:i/>
          <w:color w:val="1F2226"/>
          <w:sz w:val="21"/>
        </w:rPr>
        <w:t xml:space="preserve">A composed, investor-ready CFO with a clean record through refinancing and M&amp;A; her plc board exposure makes her a strong fit for the Group CFO brief.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247" w:bottom="794" w:left="1247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Confidential. Prepared for the named client to support a recruitment decision; not for onward distribution.</w:t>
    </w:r>
  </w:p>
  <w:p>
    <w:pPr>
      <w:tabs>
        <w:tab w:pos="9412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Candidate profile  · 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Calibri" w:hAnsi="Calibri" w:eastAsia="Calibri"/>
      <w:color w:val="1F22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Profile (Classic)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