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638" w:type="dxa"/>
        <w:jc w:val="left"/>
        <w:tblInd w:w="3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3212"/>
        <w:gridCol w:w="3212"/>
      </w:tblGrid>
      <w:tr>
        <w:tc>
          <w:tcPr>
            <w:tcW w:type="dxa" w:w="9638"/>
            <w:shd w:val="clear" w:color="auto" w:fill="2E3338"/>
            <w:tcMar>
              <w:top w:w="250" w:type="dxa"/>
              <w:left w:w="380" w:type="dxa"/>
              <w:bottom w:w="210" w:type="dxa"/>
              <w:right w:w="380" w:type="dxa"/>
            </w:tcMar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5"/>
                <w:spacing w:val="30"/>
              </w:rPr>
              <w:t>Anonymised profile</w:t>
            </w:r>
          </w:p>
          <w:p>
            <w:pPr>
              <w:spacing w:before="0" w:after="60"/>
            </w:pPr>
            <w:r>
              <w:rPr>
                <w:rFonts w:ascii="Cambria" w:hAnsi="Cambria" w:eastAsia="Cambria" w:cs="Cambria"/>
                <w:b w:val="0"/>
                <w:i w:val="0"/>
                <w:color w:val="FFFFFF"/>
                <w:sz w:val="52"/>
              </w:rPr>
              <w:t xml:space="preserve">Candidate FX-2417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3"/>
              </w:rPr>
              <w:t xml:space="preserve">Chief Technology Officer</w:t>
            </w:r>
            <w:r>
              <w:rPr>
                <w:rFonts w:ascii="Calibri" w:hAnsi="Calibri" w:eastAsia="Calibri" w:cs="Calibri"/>
                <w:b w:val="0"/>
                <w:i w:val="0"/>
                <w:color w:val="C4C6C7"/>
                <w:sz w:val="23"/>
              </w:rPr>
              <w:t xml:space="preserve">  ·  Insurance and financial services</w:t>
            </w:r>
          </w:p>
        </w:tc>
      </w:tr>
      <w:tr>
        <w:tc>
          <w:tcPr>
            <w:tcW w:type="dxa" w:w="9638"/>
            <w:shd w:val="clear" w:color="auto" w:fill="F2F3F3"/>
            <w:tcMar>
              <w:top w:w="120" w:type="dxa"/>
              <w:left w:w="380" w:type="dxa"/>
              <w:bottom w:w="130" w:type="dxa"/>
              <w:right w:w="380" w:type="dxa"/>
            </w:tcMar>
          </w:tcPr>
          <w:tbl>
            <w:tblPr>
              <w:tblLook w:firstColumn="1" w:firstRow="1" w:lastColumn="0" w:lastRow="0" w:noHBand="0" w:noVBand="1" w:val="04A0"/>
              <w:tblW w:w="8877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59"/>
              <w:gridCol w:w="2959"/>
              <w:gridCol w:w="2959"/>
            </w:tblGrid>
            <w:tr>
              <w:tc>
                <w:tcPr>
                  <w:tcW w:type="dxa" w:w="2959"/>
                </w:tcPr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Region</w:t>
                  </w:r>
                </w:p>
              </w:tc>
              <w:tc>
                <w:tcPr>
                  <w:tcW w:type="dxa" w:w="2959"/>
                </w:tcPr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Experience</w:t>
                  </w:r>
                </w:p>
              </w:tc>
              <w:tc>
                <w:tcPr>
                  <w:tcW w:type="dxa" w:w="2959"/>
                </w:tcPr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5F6B77"/>
                      <w:sz w:val="14"/>
                      <w:spacing w:val="30"/>
                    </w:rPr>
                    <w:t>Availability</w:t>
                  </w:r>
                </w:p>
              </w:tc>
            </w:tr>
            <w:tr>
              <w:tc>
                <w:tcPr>
                  <w:tcW w:type="dxa" w:w="2959"/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20"/>
                    </w:rPr>
                    <w:t xml:space="preserve">South East England</w:t>
                  </w:r>
                </w:p>
              </w:tc>
              <w:tc>
                <w:tcPr>
                  <w:tcW w:type="dxa" w:w="2959"/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20"/>
                    </w:rPr>
                    <w:t xml:space="preserve">22 years</w:t>
                  </w:r>
                </w:p>
              </w:tc>
              <w:tc>
                <w:tcPr>
                  <w:tcW w:type="dxa" w:w="2959"/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20"/>
                    </w:rPr>
                    <w:t xml:space="preserve">3 months' notice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p/>
        </w:tc>
      </w:tr>
    </w:tbl>
    <w:p>
      <w:pPr>
        <w:keepNext/>
        <w:spacing w:before="24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Summary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A technology executive who leads a 450-person engineering, data and infrastructure organisation for a listed general insurer with £3bn of gross written premium. Over two decades they have moved from software engineering into group technology leadership, delivering a cloud migration, a core-platform replacement and a step change in cyber resilience. They are known for pairing delivery discipline with a clear commercial case for every major investment, and for building engineering cultures that retain talent.</w:t>
      </w:r>
    </w:p>
    <w:p>
      <w:pPr>
        <w:keepNext/>
        <w:spacing w:before="24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Key achievements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Led the migration of 80% of workloads to public cloud, cutting run costs by £21m a year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Replaced the policy administration platform across three product lines on time and within budget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Held a £140m technology budget and a direct P&amp;L for the group's digital broker platform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Rebuilt the Research &amp; Development function, shortening release cycles from quarterly to weekly</w:t>
      </w:r>
    </w:p>
    <w:p>
      <w:pPr>
        <w:keepNext/>
        <w:spacing w:before="24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Career history</w:t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7710"/>
      </w:tblGrid>
      <w:tr>
        <w:trPr>
          <w:cantSplit/>
        </w:trPr>
        <w:tc>
          <w:tcPr>
            <w:tcW w:type="dxa" w:w="1928"/>
            <w:tcMar>
              <w:top w:w="80" w:type="dxa"/>
              <w:left w:w="0" w:type="dxa"/>
              <w:bottom w:w="85" w:type="dxa"/>
              <w:right w:w="16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2019 - Present</w:t>
            </w:r>
          </w:p>
        </w:tc>
        <w:tc>
          <w:tcPr>
            <w:tcW w:type="dxa" w:w="7710"/>
            <w:tcMar>
              <w:top w:w="80" w:type="dxa"/>
              <w:left w:w="0" w:type="dxa"/>
              <w:bottom w:w="85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Chief Technology Officer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 FTSE 250 general insurer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450 people; £140m budget; board-level technology and cyber risk reporting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left w:w="0" w:type="dxa"/>
              <w:bottom w:w="85" w:type="dxa"/>
              <w:right w:w="16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2014 - 2019</w:t>
            </w:r>
          </w:p>
        </w:tc>
        <w:tc>
          <w:tcPr>
            <w:tcW w:type="dxa" w:w="7710"/>
            <w:tcMar>
              <w:top w:w="80" w:type="dxa"/>
              <w:left w:w="0" w:type="dxa"/>
              <w:bottom w:w="85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Director of Engineering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 European specialty insurance group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Engineering for underwriting and claims platforms across six countries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left w:w="0" w:type="dxa"/>
              <w:bottom w:w="85" w:type="dxa"/>
              <w:right w:w="16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2009 - 2014</w:t>
            </w:r>
          </w:p>
        </w:tc>
        <w:tc>
          <w:tcPr>
            <w:tcW w:type="dxa" w:w="7710"/>
            <w:tcMar>
              <w:top w:w="80" w:type="dxa"/>
              <w:left w:w="0" w:type="dxa"/>
              <w:bottom w:w="85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Head of Platform Engineering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 UK digital bank (pre-IPO to listing)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Built the platform team from 12 to 90 engineers through the listing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left w:w="0" w:type="dxa"/>
              <w:bottom w:w="85" w:type="dxa"/>
              <w:right w:w="16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2003 - 2009</w:t>
            </w:r>
          </w:p>
        </w:tc>
        <w:tc>
          <w:tcPr>
            <w:tcW w:type="dxa" w:w="7710"/>
            <w:tcMar>
              <w:top w:w="80" w:type="dxa"/>
              <w:left w:w="0" w:type="dxa"/>
              <w:bottom w:w="85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Senior Software Engineer, then Engineering Manager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 global consultancy's financial services practice</w:t>
            </w:r>
          </w:p>
        </w:tc>
      </w:tr>
    </w:tbl>
    <w:p>
      <w:pPr>
        <w:keepNext/>
        <w:spacing w:before="24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Qualifications, skills and languages</w:t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195"/>
        <w:gridCol w:w="454"/>
        <w:gridCol w:w="4989"/>
      </w:tblGrid>
      <w:tr>
        <w:trPr>
          <w:cantSplit/>
        </w:trPr>
        <w:tc>
          <w:tcPr>
            <w:tcW w:type="dxa" w:w="4195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Qualifications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MSc Computer Science, a Russell Group university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BEng (Hons) Electronic Engineering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Certified Information Systems Security Professional (CISSP)</w:t>
            </w:r>
          </w:p>
        </w:tc>
        <w:tc>
          <w:tcPr>
            <w:tcW w:type="dxa" w:w="454"/>
          </w:tcPr>
          <w:p/>
        </w:tc>
        <w:tc>
          <w:tcPr>
            <w:tcW w:type="dxa" w:w="4989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Capabilities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Cloud Strategy  ·  Platform Modernisation  ·  Cyber Resilience  ·  Engineering Leadership  ·  Technology P&amp;L  ·  Vendor Management</w:t>
            </w:r>
          </w:p>
          <w:p>
            <w:pPr>
              <w:spacing w:before="16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Languages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English (native)  ·  German (professional)</w:t>
            </w:r>
          </w:p>
        </w:tc>
      </w:tr>
    </w:tbl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377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377"/>
      </w:tblGrid>
      <w:tr>
        <w:trPr>
          <w:cantSplit/>
        </w:trPr>
        <w:tc>
          <w:tcPr>
            <w:tcW w:type="dxa" w:w="9377"/>
            <w:shd w:val="clear" w:color="auto" w:fill="F1F2F3"/>
            <w:tcBorders>
              <w:left w:val="single" w:sz="24" w:space="0" w:color="5F6B77"/>
            </w:tcBorders>
            <w:tcMar>
              <w:top w:w="120" w:type="dxa"/>
              <w:left w:w="260" w:type="dxa"/>
              <w:bottom w:w="130" w:type="dxa"/>
              <w:right w:w="26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Anonymisation note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>Name, photograph, contact details, date of birth, nationality, graduation years and employer names are removed; employers are described by sector and scale. The full CV follows once the client asks to meet and the candidate agrees.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Anonymised under the search firm’s blind-shortlisting policy. Identity released only with the candidate’s consent.</w:t>
    </w:r>
  </w:p>
  <w:p>
    <w:pPr>
      <w:tabs>
        <w:tab w:pos="963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Anonymised candidate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 Candidate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