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10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30"/>
        </w:rPr>
        <w:t>Academic and research profile</w:t>
      </w: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drawing>
          <wp:anchor distT="0" distB="108000" distL="108000" distR="0" simplePos="0" relativeHeight="251660288" behindDoc="0" locked="0" layoutInCell="1" allowOverlap="1">
            <wp:simplePos x="0" y="0"/>
            <wp:positionH relativeFrom="column">
              <wp:posOffset>5040130</wp:posOffset>
            </wp:positionH>
            <wp:positionV relativeFrom="paragraph">
              <wp:posOffset>25200</wp:posOffset>
            </wp:positionV>
            <wp:extent cx="1080000" cy="900000"/>
            <wp:effectExtent l="0" t="0" r="0" b="0"/>
            <wp:wrapSquare wrapText="bothSides"/>
            <wp:docPr id="1001" name="Candidate photo 90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  <w:rPr>
                            <w:sz w:val="2"/>
                          </w:rPr>
                        </w:pPr>
                        <w:r>
                          <w:rPr>
                            <w:sz w:val="2"/>
                          </w:rPr>
                          <w:t xml:space="preserve"/>
                        </w:r>
                        <w:r>
                          <w:drawing>
                            <wp:inline xmlns:pic="http://schemas.openxmlformats.org/drawingml/2006/picture">
                              <wp:extent cx="1080000" cy="1080000"/>
                              <wp:docPr id="1002" name="Picture 902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helen-ashworth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80000" cy="1080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/>
                        </w:r>
                      </w:p>
                    </w:txbxContent>
                  </wps:txbx>
                  <wps:bodyPr rot="0" vert="horz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rPr>
          <w:rFonts w:ascii="Calibri" w:hAnsi="Calibri" w:eastAsia="Calibri" w:cs="Calibri"/>
          <w:b w:val="0"/>
          <w:i w:val="0"/>
          <w:sz w:val="2"/>
        </w:rPr>
        <w:t xml:space="preserve"/>
      </w:r>
    </w:p>
    <w:p>
      <w:pPr>
        <w:spacing w:before="0" w:after="60"/>
      </w:pPr>
      <w:r>
        <w:rPr>
          <w:rFonts w:ascii="Cambria" w:hAnsi="Cambria" w:eastAsia="Cambria" w:cs="Cambria"/>
          <w:b w:val="0"/>
          <w:i w:val="0"/>
          <w:color w:val="2E3338"/>
          <w:sz w:val="54"/>
        </w:rPr>
        <w:t xml:space="preserve">Professor Helen Ashworth</w:t>
      </w:r>
      <w:r>
        <w:rPr>
          <w:rFonts w:ascii="Calibri" w:hAnsi="Calibri" w:eastAsia="Calibri" w:cs="Calibri"/>
          <w:b w:val="0"/>
          <w:i w:val="0"/>
          <w:sz w:val="28"/>
        </w:rPr>
        <w:t xml:space="preserve">  </w:t>
      </w:r>
      <w:r>
        <w:rPr>
          <w:rFonts w:ascii="Cambria" w:hAnsi="Cambria" w:eastAsia="Cambria" w:cs="Cambria"/>
          <w:b w:val="0"/>
          <w:i w:val="0"/>
          <w:color w:val="5F6B77"/>
          <w:sz w:val="26"/>
        </w:rPr>
        <w:t xml:space="preserve">FREng FRSC</w:t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Pro-Vice-Chancellor for Research &amp; Innovation</w:t>
      </w:r>
      <w:r>
        <w:rPr>
          <w:rFonts w:ascii="Calibri" w:hAnsi="Calibri" w:eastAsia="Calibri" w:cs="Calibri"/>
          <w:b w:val="0"/>
          <w:i w:val="0"/>
          <w:color w:val="1F2226"/>
          <w:sz w:val="21"/>
        </w:rPr>
        <w:t xml:space="preserve">  ·  University of Northmoor  ·  Northmoor, UK</w:t>
      </w:r>
    </w:p>
    <w:p>
      <w:pPr>
        <w:spacing w:before="20" w:after="0"/>
      </w:pPr>
      <w:r>
        <w:rPr>
          <w:rFonts w:ascii="Calibri" w:hAnsi="Calibri" w:eastAsia="Calibri" w:cs="Calibri"/>
          <w:b w:val="0"/>
          <w:i w:val="0"/>
          <w:color w:val="5F6B77"/>
          <w:sz w:val="19"/>
        </w:rPr>
        <w:t xml:space="preserve">Candidate for Vice-Chancellor, University of Castlebridge</w:t>
      </w:r>
    </w:p>
    <w:p>
      <w:pPr>
        <w:spacing w:before="120" w:after="0"/>
      </w:pPr>
      <w:r>
        <w:rPr>
          <w:rFonts w:ascii="Cambria" w:hAnsi="Cambria" w:eastAsia="Cambria" w:cs="Cambria"/>
          <w:b w:val="0"/>
          <w:i/>
          <w:color w:val="1F2226"/>
          <w:sz w:val="24"/>
        </w:rPr>
        <w:t xml:space="preserve">Materials chemist and research leader who has doubled Northmoor’s research income and led its strongest ever research assessment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63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single" w:sz="12" w:space="0" w:color="5F6B77"/>
            </w:tcBorders>
            <w:tcMar>
              <w:top w:w="80" w:type="dxa"/>
              <w:left w:w="0" w:type="dxa"/>
              <w:bottom w:w="0" w:type="dxa"/>
              <w:right w:w="1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Current post</w:t>
            </w:r>
          </w:p>
        </w:tc>
        <w:tc>
          <w:tcPr>
            <w:tcW w:type="dxa" w:w="2409"/>
            <w:tcBorders>
              <w:top w:val="single" w:sz="12" w:space="0" w:color="5F6B77"/>
            </w:tcBorders>
            <w:tcMar>
              <w:top w:w="80" w:type="dxa"/>
              <w:left w:w="0" w:type="dxa"/>
              <w:bottom w:w="0" w:type="dxa"/>
              <w:right w:w="1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Research field</w:t>
            </w:r>
          </w:p>
        </w:tc>
        <w:tc>
          <w:tcPr>
            <w:tcW w:type="dxa" w:w="2409"/>
            <w:tcBorders>
              <w:top w:val="single" w:sz="12" w:space="0" w:color="5F6B77"/>
            </w:tcBorders>
            <w:tcMar>
              <w:top w:w="80" w:type="dxa"/>
              <w:left w:w="0" w:type="dxa"/>
              <w:bottom w:w="0" w:type="dxa"/>
              <w:right w:w="1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Funding secured</w:t>
            </w:r>
          </w:p>
        </w:tc>
        <w:tc>
          <w:tcPr>
            <w:tcW w:type="dxa" w:w="2409"/>
            <w:tcBorders>
              <w:top w:val="single" w:sz="12" w:space="0" w:color="5F6B77"/>
            </w:tcBorders>
            <w:tcMar>
              <w:top w:w="80" w:type="dxa"/>
              <w:left w:w="0" w:type="dxa"/>
              <w:bottom w:w="0" w:type="dxa"/>
              <w:right w:w="1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PhD supervision</w:t>
            </w:r>
          </w:p>
        </w:tc>
      </w:tr>
      <w:tr>
        <w:tc>
          <w:tcPr>
            <w:tcW w:type="dxa" w:w="2409"/>
            <w:tcMar>
              <w:top w:w="20" w:type="dxa"/>
              <w:left w:w="0" w:type="dxa"/>
              <w:bottom w:w="40" w:type="dxa"/>
              <w:right w:w="1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Pro-Vice-Chancellor</w:t>
            </w:r>
          </w:p>
        </w:tc>
        <w:tc>
          <w:tcPr>
            <w:tcW w:type="dxa" w:w="2409"/>
            <w:tcMar>
              <w:top w:w="20" w:type="dxa"/>
              <w:left w:w="0" w:type="dxa"/>
              <w:bottom w:w="40" w:type="dxa"/>
              <w:right w:w="1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Battery materials chemistry</w:t>
            </w:r>
          </w:p>
        </w:tc>
        <w:tc>
          <w:tcPr>
            <w:tcW w:type="dxa" w:w="2409"/>
            <w:tcMar>
              <w:top w:w="20" w:type="dxa"/>
              <w:left w:w="0" w:type="dxa"/>
              <w:bottom w:w="40" w:type="dxa"/>
              <w:right w:w="1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£38m as PI or Co-I</w:t>
            </w:r>
          </w:p>
        </w:tc>
        <w:tc>
          <w:tcPr>
            <w:tcW w:type="dxa" w:w="2409"/>
            <w:tcMar>
              <w:top w:w="20" w:type="dxa"/>
              <w:left w:w="0" w:type="dxa"/>
              <w:bottom w:w="40" w:type="dxa"/>
              <w:right w:w="1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31 completions</w:t>
            </w:r>
          </w:p>
        </w:tc>
      </w:tr>
    </w:tbl>
    <w:p>
      <w:pPr>
        <w:keepNext/>
        <w:spacing w:before="32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Research summary</w:t>
      </w:r>
    </w:p>
    <w:p>
      <w:pPr>
        <w:spacing w:before="0" w:after="40"/>
        <w:jc w:val="both"/>
      </w:pPr>
      <w:r>
        <w:rPr>
          <w:rFonts w:ascii="Calibri" w:hAnsi="Calibri" w:eastAsia="Calibri" w:cs="Calibri"/>
          <w:b w:val="0"/>
          <w:i w:val="0"/>
        </w:rPr>
        <w:t xml:space="preserve">Helen is a materials chemist whose work on solid-state electrolytes and low-cobalt battery cathodes has shaped the design of safer, longer-life energy storage. She has published more than 160 peer-reviewed papers, holds six patents and co-founded a spin-out now supplying cell components to two European manufacturers. As Pro-Vice-Chancellor since 2021 she has doubled Northmoor’s annual research income to £142m and led the institution’s research assessment submission to its best-ever result.</w:t>
      </w:r>
    </w:p>
    <w:p>
      <w:pPr>
        <w:spacing w:before="120" w:after="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20"/>
        </w:rPr>
        <w:t xml:space="preserve">Research themes   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Solid-state electrolytes  ·  Low-cobalt cathode chemistry  ·  Battery safety and ageing  ·  Materials for net zero</w:t>
      </w:r>
    </w:p>
    <w:p>
      <w:pPr>
        <w:keepNext/>
        <w:spacing w:before="28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Appointments</w:t>
      </w:r>
    </w:p>
    <w:tbl>
      <w:tblPr>
        <w:tblLook w:firstColumn="1" w:firstRow="1" w:lastColumn="0" w:lastRow="0" w:noHBand="0" w:noVBand="1" w:val="04A0"/>
        <w:tblW w:w="963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57"/>
        <w:gridCol w:w="7881"/>
      </w:tblGrid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  <w:tcMar>
              <w:top w:w="80" w:type="dxa"/>
              <w:left w:w="0" w:type="dxa"/>
              <w:bottom w:w="7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2021 – Present</w:t>
            </w:r>
          </w:p>
        </w:tc>
        <w:tc>
          <w:tcPr>
            <w:tcW w:type="dxa" w:w="7881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Pro-Vice-Chancellor for Research &amp; Innovation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  ·  University of Northmoor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Research income up from £71m to £142m; leads a portfolio of 14 research institutes</w:t>
            </w:r>
          </w:p>
        </w:tc>
      </w:tr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  <w:tcMar>
              <w:top w:w="80" w:type="dxa"/>
              <w:left w:w="0" w:type="dxa"/>
              <w:bottom w:w="7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2016 – 2021</w:t>
            </w:r>
          </w:p>
        </w:tc>
        <w:tc>
          <w:tcPr>
            <w:tcW w:type="dxa" w:w="7881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Executive Dean, Faculty of Science &amp; Engineering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  ·  University of Northmoor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Faculty of 5,400 students and 620 staff; £96m budget returned to surplus</w:t>
            </w:r>
          </w:p>
        </w:tc>
      </w:tr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  <w:tcMar>
              <w:top w:w="80" w:type="dxa"/>
              <w:left w:w="0" w:type="dxa"/>
              <w:bottom w:w="7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2012 – 2016</w:t>
            </w:r>
          </w:p>
        </w:tc>
        <w:tc>
          <w:tcPr>
            <w:tcW w:type="dxa" w:w="7881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Director, Northmoor Energy Materials Institute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  ·  University of Northmoor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Founding director; grew the institute from 12 to 85 researchers</w:t>
            </w:r>
          </w:p>
        </w:tc>
      </w:tr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  <w:tcMar>
              <w:top w:w="80" w:type="dxa"/>
              <w:left w:w="0" w:type="dxa"/>
              <w:bottom w:w="7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2008 – 2012</w:t>
            </w:r>
          </w:p>
        </w:tc>
        <w:tc>
          <w:tcPr>
            <w:tcW w:type="dxa" w:w="7881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Professor of Materials Chemistry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  ·  University of Hallamford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Personal chair; led the solid-state ionics group</w:t>
            </w:r>
          </w:p>
        </w:tc>
      </w:tr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  <w:tcMar>
              <w:top w:w="80" w:type="dxa"/>
              <w:left w:w="0" w:type="dxa"/>
              <w:bottom w:w="7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2003 – 2008</w:t>
            </w:r>
          </w:p>
        </w:tc>
        <w:tc>
          <w:tcPr>
            <w:tcW w:type="dxa" w:w="7881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Senior Lecturer, then Reader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  ·  University of Hallamford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Established an independent research group in battery materials</w:t>
            </w:r>
          </w:p>
        </w:tc>
      </w:tr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  <w:tcMar>
              <w:top w:w="80" w:type="dxa"/>
              <w:left w:w="0" w:type="dxa"/>
              <w:bottom w:w="7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2001 – 2003</w:t>
            </w:r>
          </w:p>
        </w:tc>
        <w:tc>
          <w:tcPr>
            <w:tcW w:type="dxa" w:w="7881"/>
            <w:tcBorders>
              <w:bottom w:val="single" w:sz="4" w:space="0" w:color="DFE0E1"/>
            </w:tcBorders>
            <w:tcMar>
              <w:top w:w="60" w:type="dxa"/>
              <w:left w:w="0" w:type="dxa"/>
              <w:bottom w:w="7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Research Fellow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  ·  Institute for Advanced Materials, Delft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Postdoctoral fellowship in solid-state ionics</w:t>
            </w:r>
          </w:p>
        </w:tc>
      </w:tr>
    </w:tbl>
    <w:p>
      <w:pPr>
        <w:keepNext/>
        <w:spacing w:before="28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Selected publications</w:t>
      </w:r>
    </w:p>
    <w:p>
      <w:pPr>
        <w:tabs>
          <w:tab w:pos="482" w:val="left"/>
        </w:tabs>
        <w:spacing w:before="100" w:after="0"/>
        <w:ind w:left="482" w:hanging="482"/>
      </w:pPr>
      <w:r>
        <w:rPr>
          <w:rFonts w:ascii="Cambria" w:hAnsi="Cambria" w:eastAsia="Cambria" w:cs="Cambria"/>
          <w:b w:val="0"/>
          <w:i w:val="0"/>
          <w:color w:val="5F6B77"/>
          <w:sz w:val="24"/>
        </w:rPr>
        <w:t xml:space="preserve">1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Ashworth, H., Mensah, K. and Liu, R.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 (2025) </w:t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“Interfacial stability of sulphide electrolytes in high-voltage solid-state cells”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</w:t>
      </w:r>
      <w:r>
        <w:rPr>
          <w:rFonts w:ascii="Calibri" w:hAnsi="Calibri" w:eastAsia="Calibri" w:cs="Calibri"/>
          <w:b w:val="0"/>
          <w:i/>
          <w:color w:val="1F2226"/>
          <w:sz w:val="19"/>
        </w:rPr>
        <w:t xml:space="preserve">Journal of Energy Materials Chemistry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18(4), 2211–2226.</w:t>
      </w:r>
    </w:p>
    <w:p>
      <w:pPr>
        <w:tabs>
          <w:tab w:pos="482" w:val="left"/>
        </w:tabs>
        <w:spacing w:before="100" w:after="0"/>
        <w:ind w:left="482" w:hanging="482"/>
      </w:pPr>
      <w:r>
        <w:rPr>
          <w:rFonts w:ascii="Cambria" w:hAnsi="Cambria" w:eastAsia="Cambria" w:cs="Cambria"/>
          <w:b w:val="0"/>
          <w:i w:val="0"/>
          <w:color w:val="5F6B77"/>
          <w:sz w:val="24"/>
        </w:rPr>
        <w:t xml:space="preserve">2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Liu, R., Pereira, A. and Ashworth, H.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 (2023) </w:t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“Cobalt-free layered oxide cathodes with suppressed oxygen release”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</w:t>
      </w:r>
      <w:r>
        <w:rPr>
          <w:rFonts w:ascii="Calibri" w:hAnsi="Calibri" w:eastAsia="Calibri" w:cs="Calibri"/>
          <w:b w:val="0"/>
          <w:i/>
          <w:color w:val="1F2226"/>
          <w:sz w:val="19"/>
        </w:rPr>
        <w:t xml:space="preserve">Advanced Electrochemical Systems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41, 118–134.</w:t>
      </w:r>
    </w:p>
    <w:p>
      <w:pPr>
        <w:tabs>
          <w:tab w:pos="482" w:val="left"/>
        </w:tabs>
        <w:spacing w:before="100" w:after="0"/>
        <w:ind w:left="482" w:hanging="482"/>
      </w:pPr>
      <w:r>
        <w:rPr>
          <w:rFonts w:ascii="Cambria" w:hAnsi="Cambria" w:eastAsia="Cambria" w:cs="Cambria"/>
          <w:b w:val="0"/>
          <w:i w:val="0"/>
          <w:color w:val="5F6B77"/>
          <w:sz w:val="24"/>
        </w:rPr>
        <w:t xml:space="preserve">3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Ashworth, H. and Brennan, S.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 (2022) </w:t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“Designing safer lithium batteries: a materials perspective”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</w:t>
      </w:r>
      <w:r>
        <w:rPr>
          <w:rFonts w:ascii="Calibri" w:hAnsi="Calibri" w:eastAsia="Calibri" w:cs="Calibri"/>
          <w:b w:val="0"/>
          <w:i/>
          <w:color w:val="1F2226"/>
          <w:sz w:val="19"/>
        </w:rPr>
        <w:t xml:space="preserve">Annual Review of Applied Chemistry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9, 301–329.</w:t>
      </w:r>
    </w:p>
    <w:p>
      <w:pPr>
        <w:tabs>
          <w:tab w:pos="482" w:val="left"/>
        </w:tabs>
        <w:spacing w:before="100" w:after="0"/>
        <w:ind w:left="482" w:hanging="482"/>
      </w:pPr>
      <w:r>
        <w:rPr>
          <w:rFonts w:ascii="Cambria" w:hAnsi="Cambria" w:eastAsia="Cambria" w:cs="Cambria"/>
          <w:b w:val="0"/>
          <w:i w:val="0"/>
          <w:color w:val="5F6B77"/>
          <w:sz w:val="24"/>
        </w:rPr>
        <w:t xml:space="preserve">4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Okafor, D., Ashworth, H. et al.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 (2020) </w:t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“Ageing mechanisms in polycrystalline cathodes under fast charging”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</w:t>
      </w:r>
      <w:r>
        <w:rPr>
          <w:rFonts w:ascii="Calibri" w:hAnsi="Calibri" w:eastAsia="Calibri" w:cs="Calibri"/>
          <w:b w:val="0"/>
          <w:i/>
          <w:color w:val="1F2226"/>
          <w:sz w:val="19"/>
        </w:rPr>
        <w:t xml:space="preserve">Northern Journal of Materials Science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27(2), 455–470.</w:t>
      </w:r>
    </w:p>
    <w:p>
      <w:pPr>
        <w:tabs>
          <w:tab w:pos="482" w:val="left"/>
        </w:tabs>
        <w:spacing w:before="100" w:after="0"/>
        <w:ind w:left="482" w:hanging="482"/>
      </w:pPr>
      <w:r>
        <w:rPr>
          <w:rFonts w:ascii="Cambria" w:hAnsi="Cambria" w:eastAsia="Cambria" w:cs="Cambria"/>
          <w:b w:val="0"/>
          <w:i w:val="0"/>
          <w:color w:val="5F6B77"/>
          <w:sz w:val="24"/>
        </w:rPr>
        <w:t xml:space="preserve">5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Ashworth, H.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 (2018) </w:t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“Solid-State Ionics for Energy Storage”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</w:t>
      </w:r>
      <w:r>
        <w:rPr>
          <w:rFonts w:ascii="Calibri" w:hAnsi="Calibri" w:eastAsia="Calibri" w:cs="Calibri"/>
          <w:b w:val="0"/>
          <w:i/>
          <w:color w:val="1F2226"/>
          <w:sz w:val="19"/>
        </w:rPr>
        <w:t xml:space="preserve">Castleford Academic Press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monograph, 412 pp.</w:t>
      </w:r>
    </w:p>
    <w:p>
      <w:pPr>
        <w:tabs>
          <w:tab w:pos="482" w:val="left"/>
        </w:tabs>
        <w:spacing w:before="100" w:after="0"/>
        <w:ind w:left="482" w:hanging="482"/>
      </w:pPr>
      <w:r>
        <w:rPr>
          <w:rFonts w:ascii="Cambria" w:hAnsi="Cambria" w:eastAsia="Cambria" w:cs="Cambria"/>
          <w:b w:val="0"/>
          <w:i w:val="0"/>
          <w:color w:val="5F6B77"/>
          <w:sz w:val="24"/>
        </w:rPr>
        <w:t xml:space="preserve">6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Ashworth, H., Vance, T. and Mensah, K.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 (2014) </w:t>
      </w:r>
      <w:r>
        <w:rPr>
          <w:rFonts w:ascii="Calibri" w:hAnsi="Calibri" w:eastAsia="Calibri" w:cs="Calibri"/>
          <w:b/>
          <w:i w:val="0"/>
          <w:color w:val="2E3338"/>
          <w:sz w:val="19"/>
        </w:rPr>
        <w:t xml:space="preserve">“A garnet-type electrolyte with room-temperature lithium conductivity above 1 mS/cm”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</w:t>
      </w:r>
      <w:r>
        <w:rPr>
          <w:rFonts w:ascii="Calibri" w:hAnsi="Calibri" w:eastAsia="Calibri" w:cs="Calibri"/>
          <w:b w:val="0"/>
          <w:i/>
          <w:color w:val="1F2226"/>
          <w:sz w:val="19"/>
        </w:rPr>
        <w:t xml:space="preserve">Chemical Materials Letters</w:t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, 6(11), 1402–1409.</w:t>
      </w:r>
    </w:p>
    <w:p>
      <w:pPr>
        <w:spacing w:before="140" w:after="0"/>
      </w:pPr>
      <w:r>
        <w:rPr>
          <w:rFonts w:ascii="Calibri" w:hAnsi="Calibri" w:eastAsia="Calibri" w:cs="Calibri"/>
          <w:b w:val="0"/>
          <w:i/>
          <w:color w:val="6B6D70"/>
          <w:sz w:val="17"/>
        </w:rPr>
        <w:t xml:space="preserve">Selected from more than 160 peer-reviewed publications; h-index 58 (Scopus, as stated in the CV).</w:t>
      </w:r>
    </w:p>
    <w:p>
      <w:pPr>
        <w:keepNext/>
        <w:spacing w:before="28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Research funding</w:t>
      </w:r>
    </w:p>
    <w:tbl>
      <w:tblPr>
        <w:tblLook w:firstColumn="1" w:firstRow="1" w:lastColumn="0" w:lastRow="0" w:noHBand="0" w:noVBand="1" w:val="04A0"/>
        <w:tblW w:w="963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57"/>
        <w:gridCol w:w="5669"/>
        <w:gridCol w:w="2211"/>
      </w:tblGrid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  <w:tcMar>
              <w:top w:w="65" w:type="dxa"/>
              <w:left w:w="0" w:type="dxa"/>
              <w:bottom w:w="75" w:type="dxa"/>
              <w:right w:w="160" w:type="dxa"/>
            </w:tcMar>
          </w:tcPr>
          <w:p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£6.8m</w:t>
            </w:r>
          </w:p>
        </w:tc>
        <w:tc>
          <w:tcPr>
            <w:tcW w:type="dxa" w:w="5669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  <w:tcMar>
              <w:top w:w="65" w:type="dxa"/>
              <w:left w:w="0" w:type="dxa"/>
              <w:bottom w:w="75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Programme Grant: Next-Generation Solid-State Batteries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National Research Council  ·  2022 – 2027</w:t>
            </w:r>
          </w:p>
        </w:tc>
        <w:tc>
          <w:tcPr>
            <w:tcW w:type="dxa" w:w="2211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Principal Investigator</w:t>
            </w:r>
          </w:p>
        </w:tc>
      </w:tr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  <w:tcMar>
              <w:top w:w="65" w:type="dxa"/>
              <w:left w:w="0" w:type="dxa"/>
              <w:bottom w:w="75" w:type="dxa"/>
              <w:right w:w="160" w:type="dxa"/>
            </w:tcMar>
          </w:tcPr>
          <w:p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£11.2m</w:t>
            </w:r>
          </w:p>
        </w:tc>
        <w:tc>
          <w:tcPr>
            <w:tcW w:type="dxa" w:w="5669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  <w:tcMar>
              <w:top w:w="65" w:type="dxa"/>
              <w:left w:w="0" w:type="dxa"/>
              <w:bottom w:w="75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Northmoor Battery Manufacturing Research Hub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Energy Transition Fund  ·  2019 – 2025</w:t>
            </w:r>
          </w:p>
        </w:tc>
        <w:tc>
          <w:tcPr>
            <w:tcW w:type="dxa" w:w="2211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Co-Director</w:t>
            </w:r>
          </w:p>
        </w:tc>
      </w:tr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  <w:tcMar>
              <w:top w:w="65" w:type="dxa"/>
              <w:left w:w="0" w:type="dxa"/>
              <w:bottom w:w="75" w:type="dxa"/>
              <w:right w:w="160" w:type="dxa"/>
            </w:tcMar>
          </w:tcPr>
          <w:p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€2.5m</w:t>
            </w:r>
          </w:p>
        </w:tc>
        <w:tc>
          <w:tcPr>
            <w:tcW w:type="dxa" w:w="5669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  <w:tcMar>
              <w:top w:w="65" w:type="dxa"/>
              <w:left w:w="0" w:type="dxa"/>
              <w:bottom w:w="75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Advanced Grant: IONIC-FRONTIERS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European Research Council  ·  2016 – 2021</w:t>
            </w:r>
          </w:p>
        </w:tc>
        <w:tc>
          <w:tcPr>
            <w:tcW w:type="dxa" w:w="2211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Principal Investigator</w:t>
            </w:r>
          </w:p>
        </w:tc>
      </w:tr>
      <w:tr>
        <w:trPr>
          <w:cantSplit/>
        </w:trPr>
        <w:tc>
          <w:tcPr>
            <w:tcW w:type="dxa" w:w="1757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  <w:tcMar>
              <w:top w:w="65" w:type="dxa"/>
              <w:left w:w="0" w:type="dxa"/>
              <w:bottom w:w="75" w:type="dxa"/>
              <w:right w:w="160" w:type="dxa"/>
            </w:tcMar>
          </w:tcPr>
          <w:p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£3.4m</w:t>
            </w:r>
          </w:p>
        </w:tc>
        <w:tc>
          <w:tcPr>
            <w:tcW w:type="dxa" w:w="5669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  <w:tcMar>
              <w:top w:w="65" w:type="dxa"/>
              <w:left w:w="0" w:type="dxa"/>
              <w:bottom w:w="75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Strategic partnership in cathode durability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Harland Automotive (industry partner)  ·  2015 – 2020</w:t>
            </w:r>
          </w:p>
        </w:tc>
        <w:tc>
          <w:tcPr>
            <w:tcW w:type="dxa" w:w="2211"/>
            <w:tcBorders>
              <w:bottom w:val="single" w:sz="4" w:space="0" w:color="DFE0E1"/>
            </w:tcBorders>
            <w:tcMar>
              <w:top w:w="6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Principal Investigator</w:t>
            </w:r>
          </w:p>
        </w:tc>
      </w:tr>
    </w:tbl>
    <w:p>
      <w:pPr>
        <w:keepNext/>
        <w:spacing w:before="28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Teaching and supervision</w:t>
      </w:r>
    </w:p>
    <w:p>
      <w:pPr>
        <w:spacing w:before="0" w:after="60"/>
        <w:jc w:val="both"/>
      </w:pPr>
      <w:r>
        <w:rPr>
          <w:rFonts w:ascii="Calibri" w:hAnsi="Calibri" w:eastAsia="Calibri" w:cs="Calibri"/>
          <w:b w:val="0"/>
          <w:i w:val="0"/>
        </w:rPr>
        <w:t xml:space="preserve">Helen has supervised 31 PhD students to completion, many now in academic posts or industrial research leadership, and continues to teach final-year electrochemistry. She designed and led Northmoor’s MSc in Energy Materials, now one of the university’s largest taught postgraduate programmes.</w:t>
      </w:r>
    </w:p>
    <w:p>
      <w:pPr>
        <w:pStyle w:val="ListBullet"/>
        <w:spacing w:before="60" w:after="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31 PhD completions and 14 postdoctoral researchers mentored to independent posts</w:t>
      </w:r>
    </w:p>
    <w:p>
      <w:pPr>
        <w:pStyle w:val="ListBullet"/>
        <w:spacing w:before="60" w:after="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Founding Programme Director, MSc Energy Materials (2010 – 2016)</w:t>
      </w:r>
    </w:p>
    <w:p>
      <w:pPr>
        <w:pStyle w:val="ListBullet"/>
        <w:spacing w:before="60" w:after="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University Excellence in Doctoral Supervision Award (2019)</w:t>
      </w:r>
    </w:p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63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443"/>
        <w:gridCol w:w="340"/>
        <w:gridCol w:w="3855"/>
      </w:tblGrid>
      <w:tr>
        <w:trPr>
          <w:cantSplit/>
        </w:trPr>
        <w:tc>
          <w:tcPr>
            <w:tcW w:type="dxa" w:w="5443"/>
            <w:vAlign w:val="top"/>
            <w:tcMar>
              <w:top w:w="140" w:type="dxa"/>
              <w:left w:w="0" w:type="dxa"/>
              <w:bottom w:w="0" w:type="dxa"/>
              <w:right w:w="0" w:type="dxa"/>
            </w:tcMar>
          </w:tcPr>
          <w:p>
            <w:pPr>
              <w:spacing w:before="40" w:after="100"/>
              <w:keepNext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7"/>
              </w:rPr>
              <w:t>Leadership and service</w:t>
            </w:r>
          </w:p>
          <w:p>
            <w:pPr>
              <w:keepNext/>
              <w:tabs>
                <w:tab w:pos="5414" w:val="right"/>
              </w:tabs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Sub-panel member, Chemistry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/>
              <w:tab/>
              <w:t xml:space="preserve">2019 – 2022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National research assessment exercise</w:t>
            </w:r>
          </w:p>
          <w:p>
            <w:pPr>
              <w:keepNext/>
              <w:tabs>
                <w:tab w:pos="5414" w:val="right"/>
              </w:tabs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Chair, Physical Sciences Funding Panel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/>
              <w:tab/>
              <w:t xml:space="preserve">2020 – 2024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National Research Council</w:t>
            </w:r>
          </w:p>
          <w:p>
            <w:pPr>
              <w:keepNext/>
              <w:tabs>
                <w:tab w:pos="5414" w:val="right"/>
              </w:tabs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Associate Editor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/>
              <w:tab/>
              <w:t xml:space="preserve">2015 – Present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Journal of Energy Materials Chemistry</w:t>
            </w:r>
          </w:p>
          <w:p>
            <w:pPr>
              <w:keepNext/>
              <w:tabs>
                <w:tab w:pos="5414" w:val="right"/>
              </w:tabs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Non-Executive Director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/>
              <w:tab/>
              <w:t xml:space="preserve">2022 – Present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Northmoor Teaching Hospitals NHS Foundation Trust</w:t>
            </w:r>
          </w:p>
          <w:p>
            <w:pPr>
              <w:keepNext/>
              <w:tabs>
                <w:tab w:pos="5414" w:val="right"/>
              </w:tabs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Trustee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/>
              <w:tab/>
              <w:t xml:space="preserve">2018 – Present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Young Engineers Futures (education charity)</w:t>
            </w:r>
          </w:p>
        </w:tc>
        <w:tc>
          <w:tcPr>
            <w:tcW w:type="dxa" w:w="340"/>
          </w:tcPr>
          <w:p/>
        </w:tc>
        <w:tc>
          <w:tcPr>
            <w:tcW w:type="dxa" w:w="3855"/>
            <w:vAlign w:val="top"/>
            <w:shd w:val="clear" w:color="auto" w:fill="F1F2F3"/>
            <w:tcMar>
              <w:top w:w="140" w:type="dxa"/>
              <w:left w:w="230" w:type="dxa"/>
              <w:bottom w:w="170" w:type="dxa"/>
              <w:right w:w="230" w:type="dxa"/>
            </w:tcMar>
          </w:tcPr>
          <w:p>
            <w:pPr>
              <w:keepNext/>
              <w:spacing w:before="40" w:after="100"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7"/>
              </w:rPr>
              <w:t>Honours and awards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Fellow (FREng)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Royal Academy of Engineering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  ·  2020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Fellow (FRSC)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Royal Society of Chemistry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  ·  2011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Harwood Medal for Materials Research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Institute of Energy Science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  ·  2017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Early Career Research Prize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Society for Solid-State Chemistry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  ·  2006</w:t>
            </w:r>
          </w:p>
          <w:p>
            <w:pPr>
              <w:keepNext/>
              <w:spacing w:before="320" w:after="100"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7"/>
              </w:rPr>
              <w:t>Education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PhD, Materials Chemistry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University of Hallamford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  ·  2001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MChem (Hons), Chemistry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University of Northmoor</w:t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  ·  1997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638" w:type="dxa"/>
        <w:jc w:val="left"/>
        <w:tblInd w:w="2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F1F2F3"/>
            <w:tcMar>
              <w:top w:w="160" w:type="dxa"/>
              <w:left w:w="280" w:type="dxa"/>
              <w:bottom w:w="180" w:type="dxa"/>
              <w:right w:w="280" w:type="dxa"/>
            </w:tcMar>
            <w:tcBorders>
              <w:left w:val="single" w:sz="36" w:space="0" w:color="5F6B77"/>
            </w:tcBorders>
          </w:tcPr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Consultant’s view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/>
                <w:color w:val="2E3338"/>
                <w:sz w:val="22"/>
              </w:rPr>
              <w:t xml:space="preserve">A rare combination of international research standing and proven institutional leadership: Helen has run a large faculty, delivered a best-ever research assessment and sits on an NHS trust board. Her external profile with government and industry is strong; the main gap is limited direct experience of student recruitment strategy, which she recognises. Recommended for final panel.</w:t>
            </w:r>
          </w:p>
          <w:p>
            <w:pPr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Daniel Okonjo  ·  29 September 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Confidential. Prepared for the named client institution and its selection committee; not for onward distribution.</w:t>
    </w:r>
  </w:p>
  <w:p>
    <w:pPr>
      <w:tabs>
        <w:tab w:pos="963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2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Academic profile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Calibri" w:hAnsi="Calibri" w:eastAsia="Calibri"/>
      <w:color w:val="1F22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